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B40DD" w:rsidRPr="005B3ABD" w14:paraId="204883D3" w14:textId="77777777" w:rsidTr="00882D36">
        <w:trPr>
          <w:trHeight w:hRule="exact" w:val="1418"/>
        </w:trPr>
        <w:tc>
          <w:tcPr>
            <w:tcW w:w="6804" w:type="dxa"/>
            <w:shd w:val="clear" w:color="auto" w:fill="auto"/>
            <w:vAlign w:val="center"/>
          </w:tcPr>
          <w:p w14:paraId="7BAA93F8" w14:textId="77777777" w:rsidR="003B40DD" w:rsidRPr="005B3ABD" w:rsidRDefault="003B40DD" w:rsidP="00882D36">
            <w:pPr>
              <w:pStyle w:val="EPName"/>
              <w:rPr>
                <w:color w:val="auto"/>
              </w:rPr>
            </w:pPr>
            <w:bookmarkStart w:id="0" w:name="_GoBack"/>
            <w:bookmarkEnd w:id="0"/>
            <w:r w:rsidRPr="005B3ABD">
              <w:rPr>
                <w:color w:val="auto"/>
              </w:rPr>
              <w:t>European Parliament</w:t>
            </w:r>
          </w:p>
          <w:p w14:paraId="59FB8FA5" w14:textId="77777777" w:rsidR="003B40DD" w:rsidRPr="005B3ABD" w:rsidRDefault="003B40DD" w:rsidP="00882D36">
            <w:pPr>
              <w:pStyle w:val="EPTerm"/>
              <w:rPr>
                <w:rStyle w:val="HideTWBExt"/>
                <w:noProof w:val="0"/>
                <w:vanish w:val="0"/>
                <w:color w:val="auto"/>
              </w:rPr>
            </w:pPr>
            <w:r w:rsidRPr="005B3ABD">
              <w:t>2014-2019</w:t>
            </w:r>
          </w:p>
        </w:tc>
        <w:tc>
          <w:tcPr>
            <w:tcW w:w="2268" w:type="dxa"/>
            <w:shd w:val="clear" w:color="auto" w:fill="auto"/>
          </w:tcPr>
          <w:p w14:paraId="22C2A534" w14:textId="77777777" w:rsidR="003B40DD" w:rsidRPr="005B3ABD" w:rsidRDefault="00806E6B" w:rsidP="00882D36">
            <w:pPr>
              <w:pStyle w:val="EPLogo"/>
            </w:pPr>
            <w:r w:rsidRPr="005B3ABD">
              <w:pict w14:anchorId="31C5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14:paraId="18F5F784" w14:textId="77777777" w:rsidR="003B40DD" w:rsidRPr="005B3ABD" w:rsidRDefault="003B40DD" w:rsidP="003B40DD">
      <w:pPr>
        <w:pStyle w:val="LineTop"/>
      </w:pPr>
    </w:p>
    <w:p w14:paraId="2F254FD5" w14:textId="77777777" w:rsidR="003B40DD" w:rsidRPr="005B3ABD" w:rsidRDefault="003B40DD" w:rsidP="003B40DD">
      <w:pPr>
        <w:pStyle w:val="ZCommittee"/>
      </w:pPr>
      <w:r w:rsidRPr="005B3ABD">
        <w:rPr>
          <w:rStyle w:val="HideTWBExt"/>
          <w:noProof w:val="0"/>
          <w:color w:val="auto"/>
        </w:rPr>
        <w:t>&lt;</w:t>
      </w:r>
      <w:r w:rsidRPr="005B3ABD">
        <w:rPr>
          <w:rStyle w:val="HideTWBExt"/>
          <w:i w:val="0"/>
          <w:noProof w:val="0"/>
          <w:color w:val="auto"/>
        </w:rPr>
        <w:t>Commission</w:t>
      </w:r>
      <w:r w:rsidRPr="005B3ABD">
        <w:rPr>
          <w:rStyle w:val="HideTWBExt"/>
          <w:noProof w:val="0"/>
          <w:color w:val="auto"/>
        </w:rPr>
        <w:t>&gt;</w:t>
      </w:r>
      <w:r w:rsidRPr="005B3ABD">
        <w:rPr>
          <w:rStyle w:val="HideTWBInt"/>
          <w:color w:val="auto"/>
        </w:rPr>
        <w:t>{AGRI}</w:t>
      </w:r>
      <w:r w:rsidRPr="005B3ABD">
        <w:t>Committee on Agriculture and Rural Development</w:t>
      </w:r>
      <w:r w:rsidRPr="005B3ABD">
        <w:rPr>
          <w:rStyle w:val="HideTWBExt"/>
          <w:noProof w:val="0"/>
          <w:color w:val="auto"/>
        </w:rPr>
        <w:t>&lt;/</w:t>
      </w:r>
      <w:r w:rsidRPr="005B3ABD">
        <w:rPr>
          <w:rStyle w:val="HideTWBExt"/>
          <w:i w:val="0"/>
          <w:noProof w:val="0"/>
          <w:color w:val="auto"/>
        </w:rPr>
        <w:t>Commission</w:t>
      </w:r>
      <w:r w:rsidRPr="005B3ABD">
        <w:rPr>
          <w:rStyle w:val="HideTWBExt"/>
          <w:noProof w:val="0"/>
          <w:color w:val="auto"/>
        </w:rPr>
        <w:t>&gt;</w:t>
      </w:r>
    </w:p>
    <w:p w14:paraId="45745FCB" w14:textId="77777777" w:rsidR="003B40DD" w:rsidRPr="005B3ABD" w:rsidRDefault="003B40DD" w:rsidP="003B40DD">
      <w:pPr>
        <w:pStyle w:val="LineBottom"/>
      </w:pPr>
    </w:p>
    <w:p w14:paraId="1C8BB82E" w14:textId="77777777" w:rsidR="003B40DD" w:rsidRPr="005B3ABD" w:rsidRDefault="003B40DD" w:rsidP="003B40DD">
      <w:pPr>
        <w:pStyle w:val="RefProc"/>
      </w:pPr>
      <w:r w:rsidRPr="005B3ABD">
        <w:rPr>
          <w:rStyle w:val="HideTWBExt"/>
          <w:b w:val="0"/>
          <w:noProof w:val="0"/>
          <w:color w:val="auto"/>
        </w:rPr>
        <w:t>&lt;</w:t>
      </w:r>
      <w:r w:rsidRPr="005B3ABD">
        <w:rPr>
          <w:rStyle w:val="HideTWBExt"/>
          <w:b w:val="0"/>
          <w:caps w:val="0"/>
          <w:noProof w:val="0"/>
          <w:color w:val="auto"/>
        </w:rPr>
        <w:t>RefProc</w:t>
      </w:r>
      <w:r w:rsidRPr="005B3ABD">
        <w:rPr>
          <w:rStyle w:val="HideTWBExt"/>
          <w:b w:val="0"/>
          <w:noProof w:val="0"/>
          <w:color w:val="auto"/>
        </w:rPr>
        <w:t>&gt;</w:t>
      </w:r>
      <w:r w:rsidRPr="005B3ABD">
        <w:t>2018/0218</w:t>
      </w:r>
      <w:r w:rsidRPr="005B3ABD">
        <w:rPr>
          <w:rStyle w:val="HideTWBExt"/>
          <w:b w:val="0"/>
          <w:noProof w:val="0"/>
          <w:color w:val="auto"/>
        </w:rPr>
        <w:t>&lt;/</w:t>
      </w:r>
      <w:r w:rsidRPr="005B3ABD">
        <w:rPr>
          <w:rStyle w:val="HideTWBExt"/>
          <w:b w:val="0"/>
          <w:caps w:val="0"/>
          <w:noProof w:val="0"/>
          <w:color w:val="auto"/>
        </w:rPr>
        <w:t>RefProc</w:t>
      </w:r>
      <w:r w:rsidRPr="005B3ABD">
        <w:rPr>
          <w:rStyle w:val="HideTWBExt"/>
          <w:b w:val="0"/>
          <w:noProof w:val="0"/>
          <w:color w:val="auto"/>
        </w:rPr>
        <w:t>&gt;&lt;</w:t>
      </w:r>
      <w:r w:rsidRPr="005B3ABD">
        <w:rPr>
          <w:rStyle w:val="HideTWBExt"/>
          <w:b w:val="0"/>
          <w:caps w:val="0"/>
          <w:noProof w:val="0"/>
          <w:color w:val="auto"/>
        </w:rPr>
        <w:t>RefTypeProc</w:t>
      </w:r>
      <w:r w:rsidRPr="005B3ABD">
        <w:rPr>
          <w:rStyle w:val="HideTWBExt"/>
          <w:b w:val="0"/>
          <w:noProof w:val="0"/>
          <w:color w:val="auto"/>
        </w:rPr>
        <w:t>&gt;</w:t>
      </w:r>
      <w:r w:rsidRPr="005B3ABD">
        <w:t>(COD)</w:t>
      </w:r>
      <w:r w:rsidRPr="005B3ABD">
        <w:rPr>
          <w:rStyle w:val="HideTWBExt"/>
          <w:b w:val="0"/>
          <w:noProof w:val="0"/>
          <w:color w:val="auto"/>
        </w:rPr>
        <w:t>&lt;/</w:t>
      </w:r>
      <w:r w:rsidRPr="005B3ABD">
        <w:rPr>
          <w:rStyle w:val="HideTWBExt"/>
          <w:b w:val="0"/>
          <w:caps w:val="0"/>
          <w:noProof w:val="0"/>
          <w:color w:val="auto"/>
        </w:rPr>
        <w:t>RefTypeProc</w:t>
      </w:r>
      <w:r w:rsidRPr="005B3ABD">
        <w:rPr>
          <w:rStyle w:val="HideTWBExt"/>
          <w:b w:val="0"/>
          <w:noProof w:val="0"/>
          <w:color w:val="auto"/>
        </w:rPr>
        <w:t>&gt;</w:t>
      </w:r>
    </w:p>
    <w:p w14:paraId="3725707D" w14:textId="77777777" w:rsidR="003B40DD" w:rsidRPr="005B3ABD" w:rsidRDefault="003B40DD" w:rsidP="003B40DD">
      <w:pPr>
        <w:pStyle w:val="ZDate"/>
      </w:pPr>
      <w:r w:rsidRPr="005B3ABD">
        <w:rPr>
          <w:rStyle w:val="HideTWBExt"/>
          <w:noProof w:val="0"/>
          <w:color w:val="auto"/>
        </w:rPr>
        <w:t>&lt;Date&gt;</w:t>
      </w:r>
      <w:r w:rsidRPr="005B3ABD">
        <w:rPr>
          <w:rStyle w:val="HideTWBInt"/>
          <w:color w:val="auto"/>
        </w:rPr>
        <w:t>{25/10/2018}</w:t>
      </w:r>
      <w:r w:rsidRPr="005B3ABD">
        <w:t>25.10.2018</w:t>
      </w:r>
      <w:r w:rsidRPr="005B3ABD">
        <w:rPr>
          <w:rStyle w:val="HideTWBExt"/>
          <w:noProof w:val="0"/>
          <w:color w:val="auto"/>
        </w:rPr>
        <w:t>&lt;/Date&gt;</w:t>
      </w:r>
    </w:p>
    <w:p w14:paraId="32593298" w14:textId="77777777" w:rsidR="003B40DD" w:rsidRPr="005B3ABD" w:rsidRDefault="003B40DD" w:rsidP="003B40DD">
      <w:pPr>
        <w:pStyle w:val="StarsAndIs"/>
      </w:pPr>
      <w:r w:rsidRPr="005B3ABD">
        <w:rPr>
          <w:rStyle w:val="HideTWBExt"/>
          <w:b w:val="0"/>
          <w:noProof w:val="0"/>
          <w:color w:val="auto"/>
        </w:rPr>
        <w:t>&lt;RefProcLect&gt;</w:t>
      </w:r>
      <w:r w:rsidRPr="005B3ABD">
        <w:t>***I</w:t>
      </w:r>
      <w:r w:rsidRPr="005B3ABD">
        <w:rPr>
          <w:rStyle w:val="HideTWBExt"/>
          <w:b w:val="0"/>
          <w:noProof w:val="0"/>
          <w:color w:val="auto"/>
        </w:rPr>
        <w:t>&lt;/RefProcLect&gt;</w:t>
      </w:r>
    </w:p>
    <w:p w14:paraId="22F6BA20" w14:textId="77777777" w:rsidR="003B40DD" w:rsidRPr="005B3ABD" w:rsidRDefault="003B40DD" w:rsidP="003B40DD">
      <w:pPr>
        <w:pStyle w:val="TypeDoc"/>
      </w:pPr>
      <w:r w:rsidRPr="005B3ABD">
        <w:rPr>
          <w:rStyle w:val="HideTWBExt"/>
          <w:b w:val="0"/>
          <w:noProof w:val="0"/>
          <w:color w:val="auto"/>
        </w:rPr>
        <w:t>&lt;TitreType&gt;</w:t>
      </w:r>
      <w:r w:rsidRPr="005B3ABD">
        <w:t>DRAFT REPORT</w:t>
      </w:r>
      <w:r w:rsidRPr="005B3ABD">
        <w:rPr>
          <w:rStyle w:val="HideTWBExt"/>
          <w:b w:val="0"/>
          <w:noProof w:val="0"/>
          <w:color w:val="auto"/>
        </w:rPr>
        <w:t>&lt;/TitreType&gt;</w:t>
      </w:r>
    </w:p>
    <w:p w14:paraId="6E4F2D59" w14:textId="77777777" w:rsidR="003B40DD" w:rsidRPr="005B3ABD" w:rsidRDefault="003B40DD" w:rsidP="003B40DD">
      <w:pPr>
        <w:pStyle w:val="CoverNormal"/>
      </w:pPr>
      <w:r w:rsidRPr="005B3ABD">
        <w:rPr>
          <w:rStyle w:val="HideTWBExt"/>
          <w:noProof w:val="0"/>
          <w:color w:val="auto"/>
        </w:rPr>
        <w:t>&lt;Titre&gt;</w:t>
      </w:r>
      <w:r w:rsidRPr="005B3ABD">
        <w:t>on the Proposal for a Regulation of the European Parliament and of the Council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(EU) No 228/2013 laying down specific measures for agriculture in the outermost regions of the Union and (EU) No 229/2013 laying down specific measures for agriculture in favour of the smaller Aegean islands.</w:t>
      </w:r>
      <w:r w:rsidRPr="005B3ABD">
        <w:rPr>
          <w:rStyle w:val="HideTWBExt"/>
          <w:noProof w:val="0"/>
          <w:color w:val="auto"/>
        </w:rPr>
        <w:t>&lt;/Titre&gt;</w:t>
      </w:r>
    </w:p>
    <w:p w14:paraId="6E8B935C" w14:textId="77777777" w:rsidR="003B40DD" w:rsidRPr="005B3ABD" w:rsidRDefault="003B40DD" w:rsidP="003B40DD">
      <w:pPr>
        <w:pStyle w:val="Cover24"/>
      </w:pPr>
      <w:r w:rsidRPr="005B3ABD">
        <w:rPr>
          <w:rStyle w:val="HideTWBExt"/>
          <w:noProof w:val="0"/>
          <w:color w:val="auto"/>
        </w:rPr>
        <w:t>&lt;DocRef&gt;</w:t>
      </w:r>
      <w:r w:rsidRPr="005B3ABD">
        <w:t>(COM(2018)0394 – C8</w:t>
      </w:r>
      <w:r w:rsidRPr="005B3ABD">
        <w:noBreakHyphen/>
        <w:t>0246/2018 – 2018/0218(COD))</w:t>
      </w:r>
      <w:r w:rsidRPr="005B3ABD">
        <w:rPr>
          <w:rStyle w:val="HideTWBExt"/>
          <w:noProof w:val="0"/>
          <w:color w:val="auto"/>
        </w:rPr>
        <w:t>&lt;/DocRef&gt;</w:t>
      </w:r>
    </w:p>
    <w:p w14:paraId="7BA11D24" w14:textId="77777777" w:rsidR="003B40DD" w:rsidRPr="005B3ABD" w:rsidRDefault="003B40DD" w:rsidP="003B40DD">
      <w:pPr>
        <w:pStyle w:val="Cover24"/>
      </w:pPr>
      <w:r w:rsidRPr="005B3ABD">
        <w:rPr>
          <w:rStyle w:val="HideTWBExt"/>
          <w:noProof w:val="0"/>
          <w:color w:val="auto"/>
        </w:rPr>
        <w:t>&lt;Commission&gt;</w:t>
      </w:r>
      <w:r w:rsidRPr="005B3ABD">
        <w:rPr>
          <w:rStyle w:val="HideTWBInt"/>
          <w:color w:val="auto"/>
        </w:rPr>
        <w:t>{AGRI}</w:t>
      </w:r>
      <w:r w:rsidRPr="005B3ABD">
        <w:t>Committee on Agriculture and Rural Development</w:t>
      </w:r>
      <w:r w:rsidRPr="005B3ABD">
        <w:rPr>
          <w:rStyle w:val="HideTWBExt"/>
          <w:noProof w:val="0"/>
          <w:color w:val="auto"/>
        </w:rPr>
        <w:t>&lt;/Commission&gt;</w:t>
      </w:r>
    </w:p>
    <w:p w14:paraId="6EE7DD7E" w14:textId="77777777" w:rsidR="003B40DD" w:rsidRPr="005B3ABD" w:rsidRDefault="003B40DD" w:rsidP="003B40DD">
      <w:pPr>
        <w:pStyle w:val="Cover24"/>
      </w:pPr>
      <w:r w:rsidRPr="005B3ABD">
        <w:t xml:space="preserve">Rapporteur: </w:t>
      </w:r>
      <w:r w:rsidRPr="005B3ABD">
        <w:rPr>
          <w:rStyle w:val="HideTWBExt"/>
          <w:noProof w:val="0"/>
          <w:color w:val="auto"/>
        </w:rPr>
        <w:t>&lt;Depute&gt;</w:t>
      </w:r>
      <w:r w:rsidRPr="005B3ABD">
        <w:t>Eric Andrieu</w:t>
      </w:r>
      <w:r w:rsidRPr="005B3ABD">
        <w:rPr>
          <w:rStyle w:val="HideTWBExt"/>
          <w:noProof w:val="0"/>
          <w:color w:val="auto"/>
        </w:rPr>
        <w:t>&lt;/Depute&gt;</w:t>
      </w:r>
    </w:p>
    <w:p w14:paraId="50292EDF" w14:textId="77777777" w:rsidR="003B40DD" w:rsidRPr="005B3ABD" w:rsidRDefault="003B40DD" w:rsidP="003B40DD">
      <w:pPr>
        <w:pStyle w:val="CoverNormal"/>
      </w:pPr>
    </w:p>
    <w:p w14:paraId="56F803D7" w14:textId="77777777" w:rsidR="003B40DD" w:rsidRPr="005B3ABD" w:rsidRDefault="003B40DD" w:rsidP="003B40DD">
      <w:pPr>
        <w:widowControl/>
        <w:tabs>
          <w:tab w:val="center" w:pos="4677"/>
        </w:tabs>
      </w:pPr>
      <w:r w:rsidRPr="005B3ABD">
        <w:br w:type="page"/>
      </w:r>
    </w:p>
    <w:p w14:paraId="03B83F5A" w14:textId="3E92654D" w:rsidR="003B40DD" w:rsidRPr="005B3ABD" w:rsidRDefault="00656F11" w:rsidP="003B40DD">
      <w:r w:rsidRPr="005B3ABD">
        <w:fldChar w:fldCharType="begin"/>
      </w:r>
      <w:r w:rsidRPr="005B3ABD">
        <w:instrText xml:space="preserve"> TITLE  \* MERGEFORMAT </w:instrText>
      </w:r>
      <w:r w:rsidRPr="005B3ABD">
        <w:fldChar w:fldCharType="separate"/>
      </w:r>
      <w:r>
        <w:t>PR_COD_1amCom</w:t>
      </w:r>
      <w:r w:rsidRPr="005B3ABD">
        <w:fldChar w:fldCharType="end"/>
      </w:r>
    </w:p>
    <w:p w14:paraId="4E6316EB" w14:textId="77777777" w:rsidR="003B40DD" w:rsidRPr="005B3ABD" w:rsidRDefault="003B40DD" w:rsidP="003B40DD"/>
    <w:p w14:paraId="4A730A31" w14:textId="77777777" w:rsidR="003B40DD" w:rsidRPr="005B3ABD" w:rsidRDefault="003B40DD" w:rsidP="003B40DD"/>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B40DD" w:rsidRPr="005B3ABD" w14:paraId="4742A599" w14:textId="77777777" w:rsidTr="00882D36">
        <w:tc>
          <w:tcPr>
            <w:tcW w:w="5811" w:type="dxa"/>
          </w:tcPr>
          <w:p w14:paraId="3A5AC4F4" w14:textId="77777777" w:rsidR="003B40DD" w:rsidRPr="005B3ABD" w:rsidRDefault="003B40DD" w:rsidP="00882D36">
            <w:pPr>
              <w:pStyle w:val="Lgendetitre"/>
              <w:rPr>
                <w:lang w:val="en-GB"/>
              </w:rPr>
            </w:pPr>
            <w:r w:rsidRPr="005B3ABD">
              <w:rPr>
                <w:lang w:val="en-GB"/>
              </w:rPr>
              <w:t>Symbols for procedures</w:t>
            </w:r>
          </w:p>
        </w:tc>
      </w:tr>
      <w:tr w:rsidR="003B40DD" w:rsidRPr="005B3ABD" w14:paraId="64D89FE5" w14:textId="77777777" w:rsidTr="00882D36">
        <w:trPr>
          <w:cantSplit/>
          <w:trHeight w:val="1944"/>
        </w:trPr>
        <w:tc>
          <w:tcPr>
            <w:tcW w:w="5811" w:type="dxa"/>
            <w:tcBorders>
              <w:bottom w:val="single" w:sz="4" w:space="0" w:color="auto"/>
            </w:tcBorders>
          </w:tcPr>
          <w:p w14:paraId="62D7BA11" w14:textId="77777777" w:rsidR="003B40DD" w:rsidRPr="005B3ABD" w:rsidRDefault="003B40DD" w:rsidP="00882D36">
            <w:pPr>
              <w:pStyle w:val="Lgendesigne"/>
              <w:rPr>
                <w:lang w:val="en-GB"/>
              </w:rPr>
            </w:pPr>
            <w:r w:rsidRPr="005B3ABD">
              <w:rPr>
                <w:lang w:val="en-GB"/>
              </w:rPr>
              <w:tab/>
              <w:t>*</w:t>
            </w:r>
            <w:r w:rsidRPr="005B3ABD">
              <w:rPr>
                <w:lang w:val="en-GB"/>
              </w:rPr>
              <w:tab/>
              <w:t>Consultation procedure</w:t>
            </w:r>
          </w:p>
          <w:p w14:paraId="090A1611" w14:textId="77777777" w:rsidR="003B40DD" w:rsidRPr="005B3ABD" w:rsidRDefault="003B40DD" w:rsidP="00882D36">
            <w:pPr>
              <w:pStyle w:val="Lgendesigne"/>
              <w:rPr>
                <w:lang w:val="en-GB"/>
              </w:rPr>
            </w:pPr>
            <w:r w:rsidRPr="005B3ABD">
              <w:rPr>
                <w:lang w:val="en-GB"/>
              </w:rPr>
              <w:tab/>
              <w:t>***</w:t>
            </w:r>
            <w:r w:rsidRPr="005B3ABD">
              <w:rPr>
                <w:lang w:val="en-GB"/>
              </w:rPr>
              <w:tab/>
              <w:t>Consent procedure</w:t>
            </w:r>
          </w:p>
          <w:p w14:paraId="62FD2F43" w14:textId="77777777" w:rsidR="003B40DD" w:rsidRPr="005B3ABD" w:rsidRDefault="003B40DD" w:rsidP="00882D36">
            <w:pPr>
              <w:pStyle w:val="Lgendesigne"/>
              <w:rPr>
                <w:lang w:val="en-GB"/>
              </w:rPr>
            </w:pPr>
            <w:r w:rsidRPr="005B3ABD">
              <w:rPr>
                <w:lang w:val="en-GB"/>
              </w:rPr>
              <w:tab/>
              <w:t>***I</w:t>
            </w:r>
            <w:r w:rsidRPr="005B3ABD">
              <w:rPr>
                <w:lang w:val="en-GB"/>
              </w:rPr>
              <w:tab/>
              <w:t>Ordinary legislative procedure (first reading)</w:t>
            </w:r>
          </w:p>
          <w:p w14:paraId="260B1A2C" w14:textId="77777777" w:rsidR="003B40DD" w:rsidRPr="005B3ABD" w:rsidRDefault="003B40DD" w:rsidP="00882D36">
            <w:pPr>
              <w:pStyle w:val="Lgendesigne"/>
              <w:rPr>
                <w:lang w:val="en-GB"/>
              </w:rPr>
            </w:pPr>
            <w:r w:rsidRPr="005B3ABD">
              <w:rPr>
                <w:lang w:val="en-GB"/>
              </w:rPr>
              <w:tab/>
              <w:t>***II</w:t>
            </w:r>
            <w:r w:rsidRPr="005B3ABD">
              <w:rPr>
                <w:lang w:val="en-GB"/>
              </w:rPr>
              <w:tab/>
              <w:t>Ordinary legislative procedure (second reading)</w:t>
            </w:r>
          </w:p>
          <w:p w14:paraId="12F7D4FE" w14:textId="77777777" w:rsidR="003B40DD" w:rsidRPr="005B3ABD" w:rsidRDefault="003B40DD" w:rsidP="00882D36">
            <w:pPr>
              <w:pStyle w:val="Lgendesigne"/>
              <w:rPr>
                <w:lang w:val="en-GB"/>
              </w:rPr>
            </w:pPr>
            <w:r w:rsidRPr="005B3ABD">
              <w:rPr>
                <w:lang w:val="en-GB"/>
              </w:rPr>
              <w:tab/>
              <w:t>***III</w:t>
            </w:r>
            <w:r w:rsidRPr="005B3ABD">
              <w:rPr>
                <w:lang w:val="en-GB"/>
              </w:rPr>
              <w:tab/>
              <w:t>Ordinary legislative procedure (third reading)</w:t>
            </w:r>
          </w:p>
          <w:p w14:paraId="48B2C0EE" w14:textId="77777777" w:rsidR="003B40DD" w:rsidRPr="005B3ABD" w:rsidRDefault="003B40DD" w:rsidP="00882D36">
            <w:pPr>
              <w:pStyle w:val="Lgendesigne"/>
              <w:ind w:left="0" w:firstLine="0"/>
              <w:rPr>
                <w:lang w:val="en-GB"/>
              </w:rPr>
            </w:pPr>
          </w:p>
          <w:p w14:paraId="0CA04E32" w14:textId="77777777" w:rsidR="003B40DD" w:rsidRPr="005B3ABD" w:rsidRDefault="003B40DD" w:rsidP="00882D36">
            <w:pPr>
              <w:pStyle w:val="Lgendestandard"/>
              <w:rPr>
                <w:lang w:val="en-GB"/>
              </w:rPr>
            </w:pPr>
            <w:r w:rsidRPr="005B3ABD">
              <w:rPr>
                <w:lang w:val="en-GB"/>
              </w:rPr>
              <w:t>(The type of procedure depends on the legal basis proposed by the draft act.)</w:t>
            </w:r>
          </w:p>
          <w:p w14:paraId="7CE47E92" w14:textId="77777777" w:rsidR="003B40DD" w:rsidRPr="005B3ABD" w:rsidRDefault="003B40DD" w:rsidP="00882D36">
            <w:pPr>
              <w:pStyle w:val="Lgendesigne"/>
              <w:ind w:left="0" w:firstLine="0"/>
              <w:rPr>
                <w:lang w:val="en-GB"/>
              </w:rPr>
            </w:pPr>
          </w:p>
        </w:tc>
      </w:tr>
    </w:tbl>
    <w:p w14:paraId="657B13F1" w14:textId="77777777" w:rsidR="003B40DD" w:rsidRPr="005B3ABD" w:rsidRDefault="003B40DD" w:rsidP="003B40DD"/>
    <w:p w14:paraId="3DB8F924" w14:textId="77777777" w:rsidR="003B40DD" w:rsidRPr="005B3ABD" w:rsidRDefault="003B40DD" w:rsidP="003B40DD"/>
    <w:p w14:paraId="7C3AA5D4" w14:textId="77777777" w:rsidR="003B40DD" w:rsidRPr="005B3ABD" w:rsidRDefault="003B40DD" w:rsidP="003B40DD"/>
    <w:p w14:paraId="70F8A85B" w14:textId="77777777" w:rsidR="003B40DD" w:rsidRPr="005B3ABD" w:rsidRDefault="003B40DD" w:rsidP="003B40DD"/>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B40DD" w:rsidRPr="005B3ABD" w14:paraId="028E30E4" w14:textId="77777777" w:rsidTr="00882D36">
        <w:tc>
          <w:tcPr>
            <w:tcW w:w="5811" w:type="dxa"/>
          </w:tcPr>
          <w:p w14:paraId="0E5F8C18" w14:textId="77777777" w:rsidR="003B40DD" w:rsidRPr="005B3ABD" w:rsidRDefault="003B40DD" w:rsidP="00882D36">
            <w:pPr>
              <w:pStyle w:val="Lgendetitre"/>
              <w:rPr>
                <w:lang w:val="en-GB"/>
              </w:rPr>
            </w:pPr>
            <w:r w:rsidRPr="005B3ABD">
              <w:rPr>
                <w:lang w:val="en-GB"/>
              </w:rPr>
              <w:t>Amendments to a draft act</w:t>
            </w:r>
          </w:p>
        </w:tc>
      </w:tr>
      <w:tr w:rsidR="003B40DD" w:rsidRPr="005B3ABD" w14:paraId="273B74D2" w14:textId="77777777" w:rsidTr="00882D36">
        <w:tc>
          <w:tcPr>
            <w:tcW w:w="5811" w:type="dxa"/>
          </w:tcPr>
          <w:p w14:paraId="23F648D6" w14:textId="77777777" w:rsidR="003B40DD" w:rsidRPr="005B3ABD" w:rsidRDefault="003B40DD" w:rsidP="00882D36">
            <w:pPr>
              <w:pStyle w:val="Lgendestandard"/>
              <w:rPr>
                <w:szCs w:val="18"/>
                <w:lang w:val="en-GB"/>
              </w:rPr>
            </w:pPr>
            <w:r w:rsidRPr="005B3ABD">
              <w:rPr>
                <w:b/>
                <w:lang w:val="en-GB"/>
              </w:rPr>
              <w:t>Amendments by Parliament set out in two columns</w:t>
            </w:r>
          </w:p>
          <w:p w14:paraId="3A550174" w14:textId="77777777" w:rsidR="003B40DD" w:rsidRPr="005B3ABD" w:rsidRDefault="003B40DD" w:rsidP="00882D36">
            <w:pPr>
              <w:pStyle w:val="Lgendestandard"/>
              <w:rPr>
                <w:szCs w:val="18"/>
                <w:lang w:val="en-GB"/>
              </w:rPr>
            </w:pPr>
          </w:p>
          <w:p w14:paraId="6A258319" w14:textId="77777777" w:rsidR="003B40DD" w:rsidRPr="005B3ABD" w:rsidRDefault="003B40DD" w:rsidP="00882D36">
            <w:pPr>
              <w:pStyle w:val="Lgendestandard"/>
              <w:rPr>
                <w:szCs w:val="18"/>
                <w:lang w:val="en-GB"/>
              </w:rPr>
            </w:pPr>
            <w:r w:rsidRPr="005B3ABD">
              <w:rPr>
                <w:lang w:val="en-GB"/>
              </w:rPr>
              <w:t xml:space="preserve">Deletions are indicated in </w:t>
            </w:r>
            <w:r w:rsidRPr="005B3ABD">
              <w:rPr>
                <w:b/>
                <w:bCs/>
                <w:i/>
                <w:iCs/>
                <w:lang w:val="en-GB"/>
              </w:rPr>
              <w:t>bold italics</w:t>
            </w:r>
            <w:r w:rsidRPr="005B3ABD">
              <w:rPr>
                <w:lang w:val="en-GB"/>
              </w:rPr>
              <w:t xml:space="preserve"> in the left-hand column. Replacements are indicated in </w:t>
            </w:r>
            <w:r w:rsidRPr="005B3ABD">
              <w:rPr>
                <w:b/>
                <w:bCs/>
                <w:i/>
                <w:iCs/>
                <w:lang w:val="en-GB"/>
              </w:rPr>
              <w:t>bold italics</w:t>
            </w:r>
            <w:r w:rsidRPr="005B3ABD">
              <w:rPr>
                <w:lang w:val="en-GB"/>
              </w:rPr>
              <w:t xml:space="preserve"> in both columns. New text is indicated in </w:t>
            </w:r>
            <w:r w:rsidRPr="005B3ABD">
              <w:rPr>
                <w:b/>
                <w:bCs/>
                <w:i/>
                <w:iCs/>
                <w:lang w:val="en-GB"/>
              </w:rPr>
              <w:t>bold italics</w:t>
            </w:r>
            <w:r w:rsidRPr="005B3ABD">
              <w:rPr>
                <w:lang w:val="en-GB"/>
              </w:rPr>
              <w:t xml:space="preserve"> in the right-hand column.</w:t>
            </w:r>
          </w:p>
          <w:p w14:paraId="3C234C9F" w14:textId="77777777" w:rsidR="003B40DD" w:rsidRPr="005B3ABD" w:rsidRDefault="003B40DD" w:rsidP="00882D36">
            <w:pPr>
              <w:pStyle w:val="Lgendestandard"/>
              <w:rPr>
                <w:lang w:val="en-GB"/>
              </w:rPr>
            </w:pPr>
          </w:p>
          <w:p w14:paraId="313F30E0" w14:textId="77777777" w:rsidR="003B40DD" w:rsidRPr="005B3ABD" w:rsidRDefault="003B40DD" w:rsidP="00882D36">
            <w:pPr>
              <w:pStyle w:val="Lgendestandard"/>
              <w:rPr>
                <w:lang w:val="en-GB"/>
              </w:rPr>
            </w:pPr>
            <w:r w:rsidRPr="005B3ABD">
              <w:rPr>
                <w:lang w:val="en-GB"/>
              </w:rPr>
              <w:t xml:space="preserve">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 </w:t>
            </w:r>
          </w:p>
          <w:p w14:paraId="6042D54B" w14:textId="77777777" w:rsidR="003B40DD" w:rsidRPr="005B3ABD" w:rsidRDefault="003B40DD" w:rsidP="00882D36">
            <w:pPr>
              <w:pStyle w:val="Lgendestandard"/>
              <w:rPr>
                <w:lang w:val="en-GB"/>
              </w:rPr>
            </w:pPr>
          </w:p>
          <w:p w14:paraId="7EFD88DE" w14:textId="77777777" w:rsidR="003B40DD" w:rsidRPr="005B3ABD" w:rsidRDefault="003B40DD" w:rsidP="00882D36">
            <w:pPr>
              <w:pStyle w:val="Lgendestandard"/>
              <w:rPr>
                <w:b/>
                <w:szCs w:val="18"/>
                <w:lang w:val="en-GB"/>
              </w:rPr>
            </w:pPr>
            <w:r w:rsidRPr="005B3ABD">
              <w:rPr>
                <w:b/>
                <w:szCs w:val="18"/>
                <w:lang w:val="en-GB"/>
              </w:rPr>
              <w:t>Amendments by Parliament in the form of a consolidated text</w:t>
            </w:r>
          </w:p>
          <w:p w14:paraId="5F7898B2" w14:textId="77777777" w:rsidR="003B40DD" w:rsidRPr="005B3ABD" w:rsidRDefault="003B40DD" w:rsidP="00882D36">
            <w:pPr>
              <w:pStyle w:val="Lgendestandard"/>
              <w:rPr>
                <w:szCs w:val="18"/>
                <w:lang w:val="en-GB"/>
              </w:rPr>
            </w:pPr>
          </w:p>
          <w:p w14:paraId="3086BBCF" w14:textId="77777777" w:rsidR="003B40DD" w:rsidRPr="005B3ABD" w:rsidRDefault="003B40DD" w:rsidP="00882D36">
            <w:pPr>
              <w:pStyle w:val="Lgendestandard"/>
              <w:rPr>
                <w:szCs w:val="18"/>
                <w:lang w:val="en-GB"/>
              </w:rPr>
            </w:pPr>
            <w:r w:rsidRPr="005B3ABD">
              <w:rPr>
                <w:lang w:val="en-GB"/>
              </w:rPr>
              <w:t xml:space="preserve">New text is highlighted in </w:t>
            </w:r>
            <w:r w:rsidRPr="005B3ABD">
              <w:rPr>
                <w:b/>
                <w:bCs/>
                <w:i/>
                <w:iCs/>
                <w:lang w:val="en-GB"/>
              </w:rPr>
              <w:t>bold italics</w:t>
            </w:r>
            <w:r w:rsidRPr="005B3ABD">
              <w:rPr>
                <w:lang w:val="en-GB"/>
              </w:rPr>
              <w:t xml:space="preserve">. Deletions are indicated using either the ▌symbol or strikeout. Replacements are indicated by highlighting the new text in </w:t>
            </w:r>
            <w:r w:rsidRPr="005B3ABD">
              <w:rPr>
                <w:b/>
                <w:bCs/>
                <w:i/>
                <w:iCs/>
                <w:lang w:val="en-GB"/>
              </w:rPr>
              <w:t>bold italics</w:t>
            </w:r>
            <w:r w:rsidRPr="005B3ABD">
              <w:rPr>
                <w:lang w:val="en-GB"/>
              </w:rPr>
              <w:t xml:space="preserve"> and by deleting or striking out the text that has been replaced. </w:t>
            </w:r>
          </w:p>
          <w:p w14:paraId="3BDFB131" w14:textId="77777777" w:rsidR="003B40DD" w:rsidRPr="005B3ABD" w:rsidRDefault="003B40DD" w:rsidP="00882D36">
            <w:pPr>
              <w:pStyle w:val="Lgendestandard"/>
              <w:rPr>
                <w:lang w:val="en-GB"/>
              </w:rPr>
            </w:pPr>
            <w:r w:rsidRPr="005B3ABD">
              <w:rPr>
                <w:lang w:val="en-GB"/>
              </w:rPr>
              <w:t>By way of exception, purely technical changes made by the drafting departments in preparing the final text are not highlighted.</w:t>
            </w:r>
          </w:p>
          <w:p w14:paraId="0F9D7919" w14:textId="77777777" w:rsidR="003B40DD" w:rsidRPr="005B3ABD" w:rsidRDefault="003B40DD" w:rsidP="00882D36">
            <w:pPr>
              <w:pStyle w:val="Lgendestandard"/>
              <w:rPr>
                <w:lang w:val="en-GB"/>
              </w:rPr>
            </w:pPr>
          </w:p>
        </w:tc>
      </w:tr>
    </w:tbl>
    <w:p w14:paraId="2EFD73BB" w14:textId="77777777" w:rsidR="003B40DD" w:rsidRPr="005B3ABD" w:rsidRDefault="003B40DD" w:rsidP="003B40DD"/>
    <w:p w14:paraId="4C4DA5CC" w14:textId="77777777" w:rsidR="003B40DD" w:rsidRPr="005B3ABD" w:rsidRDefault="003B40DD" w:rsidP="003B40DD">
      <w:pPr>
        <w:widowControl/>
        <w:tabs>
          <w:tab w:val="center" w:pos="4677"/>
        </w:tabs>
      </w:pPr>
    </w:p>
    <w:p w14:paraId="59DE6D48" w14:textId="77777777" w:rsidR="003B40DD" w:rsidRPr="005B3ABD" w:rsidRDefault="003B40DD" w:rsidP="003B40DD">
      <w:pPr>
        <w:pStyle w:val="TOCHeading"/>
      </w:pPr>
      <w:r w:rsidRPr="005B3ABD">
        <w:br w:type="page"/>
      </w:r>
      <w:r w:rsidRPr="005B3ABD">
        <w:lastRenderedPageBreak/>
        <w:t>CONTENTS</w:t>
      </w:r>
    </w:p>
    <w:p w14:paraId="45134BC2" w14:textId="77777777" w:rsidR="003B40DD" w:rsidRPr="005B3ABD" w:rsidRDefault="003B40DD" w:rsidP="003B40DD">
      <w:pPr>
        <w:pStyle w:val="TOCPage"/>
      </w:pPr>
      <w:r w:rsidRPr="005B3ABD">
        <w:t>Page</w:t>
      </w:r>
    </w:p>
    <w:p w14:paraId="6A50694D" w14:textId="5CBC1C6A" w:rsidR="00656F11" w:rsidRDefault="003B40DD">
      <w:pPr>
        <w:pStyle w:val="TOC1"/>
        <w:tabs>
          <w:tab w:val="right" w:leader="dot" w:pos="9060"/>
        </w:tabs>
        <w:rPr>
          <w:rFonts w:asciiTheme="minorHAnsi" w:eastAsiaTheme="minorEastAsia" w:hAnsiTheme="minorHAnsi" w:cstheme="minorBidi"/>
          <w:noProof/>
          <w:sz w:val="22"/>
          <w:szCs w:val="22"/>
        </w:rPr>
      </w:pPr>
      <w:r w:rsidRPr="005B3ABD">
        <w:rPr>
          <w:b/>
        </w:rPr>
        <w:fldChar w:fldCharType="begin"/>
      </w:r>
      <w:r w:rsidRPr="005B3ABD">
        <w:rPr>
          <w:b/>
        </w:rPr>
        <w:instrText xml:space="preserve"> TOC \t "PageHeading;1" </w:instrText>
      </w:r>
      <w:r w:rsidRPr="005B3ABD">
        <w:rPr>
          <w:b/>
        </w:rPr>
        <w:fldChar w:fldCharType="separate"/>
      </w:r>
      <w:r w:rsidR="00656F11">
        <w:rPr>
          <w:noProof/>
        </w:rPr>
        <w:t>DRAFT EUROPEAN PARLIAMENT LEGISLATIVE RESOLUTION</w:t>
      </w:r>
      <w:r w:rsidR="00656F11">
        <w:rPr>
          <w:noProof/>
        </w:rPr>
        <w:tab/>
      </w:r>
      <w:r w:rsidR="00656F11">
        <w:rPr>
          <w:noProof/>
        </w:rPr>
        <w:fldChar w:fldCharType="begin"/>
      </w:r>
      <w:r w:rsidR="00656F11">
        <w:rPr>
          <w:noProof/>
        </w:rPr>
        <w:instrText xml:space="preserve"> PAGEREF _Toc529454714 \h </w:instrText>
      </w:r>
      <w:r w:rsidR="00656F11">
        <w:rPr>
          <w:noProof/>
        </w:rPr>
      </w:r>
      <w:r w:rsidR="00656F11">
        <w:rPr>
          <w:noProof/>
        </w:rPr>
        <w:fldChar w:fldCharType="separate"/>
      </w:r>
      <w:r w:rsidR="00656F11">
        <w:rPr>
          <w:noProof/>
        </w:rPr>
        <w:t>5</w:t>
      </w:r>
      <w:r w:rsidR="00656F11">
        <w:rPr>
          <w:noProof/>
        </w:rPr>
        <w:fldChar w:fldCharType="end"/>
      </w:r>
    </w:p>
    <w:p w14:paraId="29E4A776" w14:textId="4EB07A68" w:rsidR="00656F11" w:rsidRDefault="00656F11">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_Toc529454715 \h </w:instrText>
      </w:r>
      <w:r>
        <w:rPr>
          <w:noProof/>
        </w:rPr>
      </w:r>
      <w:r>
        <w:rPr>
          <w:noProof/>
        </w:rPr>
        <w:fldChar w:fldCharType="separate"/>
      </w:r>
      <w:r>
        <w:rPr>
          <w:noProof/>
        </w:rPr>
        <w:t>76</w:t>
      </w:r>
      <w:r>
        <w:rPr>
          <w:noProof/>
        </w:rPr>
        <w:fldChar w:fldCharType="end"/>
      </w:r>
    </w:p>
    <w:p w14:paraId="7B1B5C86" w14:textId="2E14AD7D" w:rsidR="003B40DD" w:rsidRPr="005B3ABD" w:rsidRDefault="003B40DD" w:rsidP="003B40DD">
      <w:r w:rsidRPr="005B3ABD">
        <w:rPr>
          <w:b/>
        </w:rPr>
        <w:fldChar w:fldCharType="end"/>
      </w:r>
    </w:p>
    <w:p w14:paraId="63B96F92" w14:textId="77777777" w:rsidR="003B40DD" w:rsidRPr="005B3ABD" w:rsidRDefault="003B40DD" w:rsidP="003B40DD"/>
    <w:p w14:paraId="5BFA2DA5" w14:textId="77777777" w:rsidR="003B40DD" w:rsidRPr="005B3ABD" w:rsidRDefault="003B40DD" w:rsidP="003B40DD">
      <w:pPr>
        <w:pStyle w:val="PageHeading"/>
      </w:pPr>
    </w:p>
    <w:p w14:paraId="27B60B94" w14:textId="77777777" w:rsidR="003B40DD" w:rsidRPr="005B3ABD" w:rsidRDefault="003B40DD" w:rsidP="003B40DD">
      <w:pPr>
        <w:pStyle w:val="PageHeading"/>
      </w:pPr>
      <w:r w:rsidRPr="005B3ABD">
        <w:br w:type="page"/>
      </w:r>
      <w:r w:rsidRPr="005B3ABD">
        <w:lastRenderedPageBreak/>
        <w:br w:type="page"/>
      </w:r>
      <w:bookmarkStart w:id="1" w:name="_Toc529454714"/>
      <w:r w:rsidRPr="005B3ABD">
        <w:lastRenderedPageBreak/>
        <w:t>DRAFT EUROPEAN PARLIAMENT LEGISLATIVE RESOLUTION</w:t>
      </w:r>
      <w:bookmarkEnd w:id="1"/>
    </w:p>
    <w:p w14:paraId="0DE6F12E" w14:textId="77777777" w:rsidR="003B40DD" w:rsidRPr="005B3ABD" w:rsidRDefault="003B40DD" w:rsidP="003B40DD">
      <w:pPr>
        <w:pStyle w:val="NormalBold"/>
      </w:pPr>
      <w:r w:rsidRPr="005B3ABD">
        <w:t>Proposal for a Regulation of the European Parliament and of the Council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(EU) No 228/2013 laying down specific measures for agriculture in the outermost regions of the Union and (EU) No 229/2013 laying down specific measures for agriculture in favour of the smaller Aegean islands.</w:t>
      </w:r>
    </w:p>
    <w:p w14:paraId="6FBF1EF7" w14:textId="77777777" w:rsidR="003B40DD" w:rsidRPr="005B3ABD" w:rsidRDefault="003B40DD" w:rsidP="003B40DD">
      <w:pPr>
        <w:pStyle w:val="Normal12Bold"/>
      </w:pPr>
      <w:r w:rsidRPr="005B3ABD">
        <w:t>(COM(2018)0394 – C8</w:t>
      </w:r>
      <w:r w:rsidRPr="005B3ABD">
        <w:noBreakHyphen/>
        <w:t>0246/2018 – 2018/0218(COD))</w:t>
      </w:r>
    </w:p>
    <w:p w14:paraId="1213DED9" w14:textId="77777777" w:rsidR="003B40DD" w:rsidRPr="005B3ABD" w:rsidRDefault="003B40DD" w:rsidP="003B40DD">
      <w:pPr>
        <w:pStyle w:val="Normal12Bold"/>
      </w:pPr>
      <w:r w:rsidRPr="005B3ABD">
        <w:t>(Ordinary legislative procedure: first reading)</w:t>
      </w:r>
    </w:p>
    <w:p w14:paraId="1F58DAB7" w14:textId="77777777" w:rsidR="003B40DD" w:rsidRPr="005B3ABD" w:rsidRDefault="003B40DD" w:rsidP="003B40DD">
      <w:pPr>
        <w:pStyle w:val="Normal12"/>
      </w:pPr>
      <w:r w:rsidRPr="005B3ABD">
        <w:rPr>
          <w:i/>
          <w:iCs/>
        </w:rPr>
        <w:t>The European Parliament</w:t>
      </w:r>
      <w:r w:rsidRPr="005B3ABD">
        <w:t>,</w:t>
      </w:r>
    </w:p>
    <w:p w14:paraId="2ECB5494" w14:textId="77777777" w:rsidR="003B40DD" w:rsidRPr="005B3ABD" w:rsidRDefault="003B40DD" w:rsidP="003B40DD">
      <w:pPr>
        <w:pStyle w:val="Normal12Hanging"/>
      </w:pPr>
      <w:r w:rsidRPr="005B3ABD">
        <w:t>–</w:t>
      </w:r>
      <w:r w:rsidRPr="005B3ABD">
        <w:tab/>
        <w:t>having regard to the Commission proposal to Parliament and the Council (COM(2018)0394),</w:t>
      </w:r>
    </w:p>
    <w:p w14:paraId="49789126" w14:textId="77777777" w:rsidR="003B40DD" w:rsidRPr="005B3ABD" w:rsidRDefault="003B40DD" w:rsidP="003B40DD">
      <w:pPr>
        <w:pStyle w:val="Normal12Hanging"/>
      </w:pPr>
      <w:r w:rsidRPr="005B3ABD">
        <w:t>–</w:t>
      </w:r>
      <w:r w:rsidRPr="005B3ABD">
        <w:tab/>
        <w:t>having regard to Article 294(2) and Articles 43(2), 114, 118(1) and 349 of the Treaty on the Functioning of the European Union, pursuant to which the Commission submitted the proposal to Parliament (C8</w:t>
      </w:r>
      <w:r w:rsidRPr="005B3ABD">
        <w:noBreakHyphen/>
        <w:t>0246/2018),</w:t>
      </w:r>
    </w:p>
    <w:p w14:paraId="31654169" w14:textId="77777777" w:rsidR="003B40DD" w:rsidRPr="005B3ABD" w:rsidRDefault="003B40DD" w:rsidP="003B40DD">
      <w:pPr>
        <w:pStyle w:val="Normal12Hanging"/>
      </w:pPr>
      <w:r w:rsidRPr="005B3ABD">
        <w:t>–</w:t>
      </w:r>
      <w:r w:rsidRPr="005B3ABD">
        <w:tab/>
        <w:t>having regard to Article 294(3) of the Treaty on the Functioning of the European Union,</w:t>
      </w:r>
    </w:p>
    <w:p w14:paraId="148B347C" w14:textId="77777777" w:rsidR="003B40DD" w:rsidRPr="005B3ABD" w:rsidRDefault="003B40DD" w:rsidP="003B40DD">
      <w:pPr>
        <w:pStyle w:val="Normal12Hanging"/>
      </w:pPr>
      <w:r w:rsidRPr="005B3ABD">
        <w:t>–</w:t>
      </w:r>
      <w:r w:rsidRPr="005B3ABD">
        <w:tab/>
        <w:t xml:space="preserve">having regard to the opinion of the European Economic and Social Committee of ... </w:t>
      </w:r>
      <w:r w:rsidRPr="005B3ABD">
        <w:rPr>
          <w:rStyle w:val="FootnoteReference"/>
        </w:rPr>
        <w:footnoteReference w:id="1"/>
      </w:r>
      <w:r w:rsidRPr="005B3ABD">
        <w:t>,</w:t>
      </w:r>
    </w:p>
    <w:p w14:paraId="3B693CA2" w14:textId="77777777" w:rsidR="003B40DD" w:rsidRPr="005B3ABD" w:rsidRDefault="003B40DD" w:rsidP="003B40DD">
      <w:pPr>
        <w:pStyle w:val="Normal12Hanging"/>
      </w:pPr>
      <w:r w:rsidRPr="005B3ABD">
        <w:t>–</w:t>
      </w:r>
      <w:r w:rsidRPr="005B3ABD">
        <w:tab/>
        <w:t xml:space="preserve">having regard to the opinion of the Committee of the Regions of ... </w:t>
      </w:r>
      <w:r w:rsidRPr="005B3ABD">
        <w:rPr>
          <w:rStyle w:val="FootnoteReference"/>
        </w:rPr>
        <w:footnoteReference w:id="2"/>
      </w:r>
      <w:r w:rsidRPr="005B3ABD">
        <w:t>,</w:t>
      </w:r>
    </w:p>
    <w:p w14:paraId="4F47E68C" w14:textId="77777777" w:rsidR="003B40DD" w:rsidRPr="005B3ABD" w:rsidRDefault="003B40DD" w:rsidP="003B40DD">
      <w:pPr>
        <w:pStyle w:val="Normal12Hanging"/>
      </w:pPr>
      <w:r w:rsidRPr="005B3ABD">
        <w:t>–</w:t>
      </w:r>
      <w:r w:rsidRPr="005B3ABD">
        <w:tab/>
        <w:t>having regard to Rule 59 of its Rules of Procedure,</w:t>
      </w:r>
    </w:p>
    <w:p w14:paraId="14645E95" w14:textId="77777777" w:rsidR="003B40DD" w:rsidRPr="005B3ABD" w:rsidRDefault="003B40DD" w:rsidP="003B40DD">
      <w:pPr>
        <w:pStyle w:val="Normal12Hanging"/>
      </w:pPr>
      <w:r w:rsidRPr="005B3ABD">
        <w:t>–</w:t>
      </w:r>
      <w:r w:rsidRPr="005B3ABD">
        <w:tab/>
        <w:t>having regard to the report of the Committee on Agriculture and Rural Development and the opinions of the Committee on Development, the Committee on Budgetary Control, the Committee on the Environment, Public Health and Food Safety and the Committee on Regional Development (A8</w:t>
      </w:r>
      <w:r w:rsidRPr="005B3ABD">
        <w:noBreakHyphen/>
        <w:t>0000/2018),</w:t>
      </w:r>
    </w:p>
    <w:p w14:paraId="698D25CF" w14:textId="77777777" w:rsidR="003B40DD" w:rsidRPr="005B3ABD" w:rsidRDefault="003B40DD" w:rsidP="003B40DD">
      <w:pPr>
        <w:pStyle w:val="Normal12Hanging"/>
      </w:pPr>
      <w:r w:rsidRPr="005B3ABD">
        <w:t>1.</w:t>
      </w:r>
      <w:r w:rsidRPr="005B3ABD">
        <w:tab/>
        <w:t>Adopts its position at first reading hereinafter set out;</w:t>
      </w:r>
    </w:p>
    <w:p w14:paraId="66F0726E" w14:textId="77777777" w:rsidR="003B40DD" w:rsidRPr="005B3ABD" w:rsidRDefault="003B40DD" w:rsidP="003B40DD">
      <w:pPr>
        <w:pStyle w:val="Normal12Hanging"/>
      </w:pPr>
      <w:r w:rsidRPr="005B3ABD">
        <w:t>2.</w:t>
      </w:r>
      <w:r w:rsidRPr="005B3ABD">
        <w:tab/>
        <w:t>Calls on the Commission to refer the matter to Parliament again if it replaces, substantially amends or intends to substantially amend its proposal;</w:t>
      </w:r>
    </w:p>
    <w:p w14:paraId="3162C5F2" w14:textId="77777777" w:rsidR="003B40DD" w:rsidRPr="005B3ABD" w:rsidRDefault="003B40DD" w:rsidP="003B40DD">
      <w:pPr>
        <w:pStyle w:val="Normal12Hanging"/>
      </w:pPr>
      <w:r w:rsidRPr="005B3ABD">
        <w:t>3.</w:t>
      </w:r>
      <w:r w:rsidRPr="005B3ABD">
        <w:tab/>
        <w:t>Instructs its President to forward its position to the Council, the Commission and the national parliaments.</w:t>
      </w:r>
    </w:p>
    <w:p w14:paraId="3550A28A" w14:textId="77777777" w:rsidR="003B40DD" w:rsidRPr="005B3ABD" w:rsidRDefault="003B40DD" w:rsidP="003B40DD"/>
    <w:p w14:paraId="11E0FD8F" w14:textId="01183AA3" w:rsidR="003B40DD" w:rsidRPr="005B3ABD" w:rsidRDefault="003B40DD" w:rsidP="003B40DD">
      <w:pPr>
        <w:pStyle w:val="AMNumberTabs"/>
        <w:keepNext/>
      </w:pPr>
      <w:r w:rsidRPr="005B3ABD">
        <w:rPr>
          <w:rStyle w:val="HideTWBExt"/>
          <w:b w:val="0"/>
          <w:noProof w:val="0"/>
        </w:rPr>
        <w:lastRenderedPageBreak/>
        <w:t>&lt;RepeatBlock-Amend&gt;&lt;Amend&gt;</w:t>
      </w:r>
      <w:r w:rsidRPr="005B3ABD">
        <w:t>Amendment</w:t>
      </w:r>
      <w:r w:rsidRPr="005B3ABD">
        <w:tab/>
      </w:r>
      <w:r w:rsidRPr="005B3ABD">
        <w:tab/>
      </w:r>
      <w:r w:rsidRPr="005B3ABD">
        <w:rPr>
          <w:rStyle w:val="HideTWBExt"/>
          <w:b w:val="0"/>
          <w:noProof w:val="0"/>
          <w:color w:val="auto"/>
        </w:rPr>
        <w:t>&lt;NumAm&gt;</w:t>
      </w:r>
      <w:r w:rsidRPr="005B3ABD">
        <w:t>1</w:t>
      </w:r>
      <w:r w:rsidRPr="005B3ABD">
        <w:rPr>
          <w:rStyle w:val="HideTWBExt"/>
          <w:b w:val="0"/>
          <w:noProof w:val="0"/>
          <w:color w:val="auto"/>
        </w:rPr>
        <w:t>&lt;/NumAm&gt;</w:t>
      </w:r>
    </w:p>
    <w:p w14:paraId="7F6C23D2"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2A73D6D" w14:textId="77777777" w:rsidR="003B40DD" w:rsidRPr="005B3ABD" w:rsidRDefault="003B40DD" w:rsidP="003B40DD">
      <w:pPr>
        <w:pStyle w:val="NormalBold"/>
      </w:pPr>
      <w:r w:rsidRPr="005B3ABD">
        <w:rPr>
          <w:rStyle w:val="HideTWBExt"/>
          <w:b w:val="0"/>
          <w:noProof w:val="0"/>
          <w:color w:val="auto"/>
        </w:rPr>
        <w:t>&lt;Article&gt;</w:t>
      </w:r>
      <w:r w:rsidRPr="005B3ABD">
        <w:t>Recital 8 a (new)</w:t>
      </w:r>
      <w:r w:rsidRPr="005B3AB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D56AC69" w14:textId="77777777" w:rsidTr="00882D36">
        <w:trPr>
          <w:jc w:val="center"/>
        </w:trPr>
        <w:tc>
          <w:tcPr>
            <w:tcW w:w="9752" w:type="dxa"/>
            <w:gridSpan w:val="2"/>
          </w:tcPr>
          <w:p w14:paraId="14EC6E78" w14:textId="77777777" w:rsidR="003B40DD" w:rsidRPr="005B3ABD" w:rsidRDefault="003B40DD" w:rsidP="00882D36">
            <w:pPr>
              <w:keepNext/>
            </w:pPr>
          </w:p>
        </w:tc>
      </w:tr>
      <w:tr w:rsidR="003B40DD" w:rsidRPr="005B3ABD" w14:paraId="32E138D3" w14:textId="77777777" w:rsidTr="00882D36">
        <w:trPr>
          <w:jc w:val="center"/>
        </w:trPr>
        <w:tc>
          <w:tcPr>
            <w:tcW w:w="4876" w:type="dxa"/>
          </w:tcPr>
          <w:p w14:paraId="1121288A" w14:textId="77777777" w:rsidR="003B40DD" w:rsidRPr="005B3ABD" w:rsidRDefault="003B40DD" w:rsidP="00882D36">
            <w:pPr>
              <w:pStyle w:val="ColumnHeading"/>
              <w:keepNext/>
              <w:rPr>
                <w:color w:val="0000FA"/>
              </w:rPr>
            </w:pPr>
            <w:r w:rsidRPr="005B3ABD">
              <w:t>Text proposed by the Commission</w:t>
            </w:r>
          </w:p>
        </w:tc>
        <w:tc>
          <w:tcPr>
            <w:tcW w:w="4876" w:type="dxa"/>
          </w:tcPr>
          <w:p w14:paraId="401CFB4B" w14:textId="77777777" w:rsidR="003B40DD" w:rsidRPr="005B3ABD" w:rsidRDefault="003B40DD" w:rsidP="00882D36">
            <w:pPr>
              <w:pStyle w:val="ColumnHeading"/>
              <w:keepNext/>
              <w:rPr>
                <w:color w:val="0000F5"/>
              </w:rPr>
            </w:pPr>
            <w:r w:rsidRPr="005B3ABD">
              <w:t>Amendment</w:t>
            </w:r>
          </w:p>
        </w:tc>
      </w:tr>
      <w:tr w:rsidR="003B40DD" w:rsidRPr="005B3ABD" w14:paraId="57B35624" w14:textId="77777777" w:rsidTr="00882D36">
        <w:trPr>
          <w:jc w:val="center"/>
        </w:trPr>
        <w:tc>
          <w:tcPr>
            <w:tcW w:w="4876" w:type="dxa"/>
          </w:tcPr>
          <w:p w14:paraId="054DC28F" w14:textId="77777777" w:rsidR="003B40DD" w:rsidRPr="005B3ABD" w:rsidRDefault="003B40DD" w:rsidP="00882D36">
            <w:pPr>
              <w:pStyle w:val="Normal6"/>
              <w:rPr>
                <w:color w:val="0000FA"/>
              </w:rPr>
            </w:pPr>
          </w:p>
        </w:tc>
        <w:tc>
          <w:tcPr>
            <w:tcW w:w="4876" w:type="dxa"/>
          </w:tcPr>
          <w:p w14:paraId="132D9B81" w14:textId="77777777" w:rsidR="003B40DD" w:rsidRPr="005B3ABD" w:rsidRDefault="003B40DD" w:rsidP="00882D36">
            <w:pPr>
              <w:pStyle w:val="Normal6"/>
              <w:rPr>
                <w:szCs w:val="24"/>
              </w:rPr>
            </w:pPr>
            <w:r w:rsidRPr="005B3ABD">
              <w:rPr>
                <w:b/>
                <w:i/>
              </w:rPr>
              <w:t>(8 a)</w:t>
            </w:r>
            <w:r w:rsidRPr="005B3ABD">
              <w:rPr>
                <w:b/>
                <w:i/>
              </w:rPr>
              <w:tab/>
              <w:t>As farming structures may vary considerably in Member States and also differ in size from one region to another, Member States should be able to apply minimum thresholds to the definition of a holding at a regional level for the purposes of the scheme of authorisations for plantings, so as to take the specific needs of various regions into consideration in the system of authorisations for new plantings.</w:t>
            </w:r>
          </w:p>
        </w:tc>
      </w:tr>
    </w:tbl>
    <w:p w14:paraId="15FC785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1A1BCEF"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4D9E50F" w14:textId="77777777" w:rsidR="003B40DD" w:rsidRPr="005B3ABD" w:rsidRDefault="003B40DD" w:rsidP="003B40DD">
      <w:pPr>
        <w:pStyle w:val="Normal12Italic"/>
      </w:pPr>
      <w:r w:rsidRPr="005B3ABD">
        <w:t>It is necessary to adapt the definition of a holding with regard to viticulture. At present, a holding is defined in Regulation 1307/2013 as being all the units managed by a single legal entity situated within the territory of the same Member State. This definition is neither suited to nor consistent with a regional approach to the management of production capacity in viticulture.</w:t>
      </w:r>
    </w:p>
    <w:p w14:paraId="363527D2" w14:textId="77777777" w:rsidR="003B40DD" w:rsidRPr="005B3ABD" w:rsidRDefault="003B40DD" w:rsidP="003B40DD">
      <w:r w:rsidRPr="005B3ABD">
        <w:rPr>
          <w:rStyle w:val="HideTWBExt"/>
          <w:noProof w:val="0"/>
          <w:color w:val="auto"/>
        </w:rPr>
        <w:t>&lt;/Amend&gt;</w:t>
      </w:r>
    </w:p>
    <w:p w14:paraId="7DDD693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w:t>
      </w:r>
      <w:r w:rsidRPr="005B3ABD">
        <w:rPr>
          <w:rStyle w:val="HideTWBExt"/>
          <w:b w:val="0"/>
          <w:noProof w:val="0"/>
          <w:color w:val="auto"/>
        </w:rPr>
        <w:t>&lt;/NumAm&gt;</w:t>
      </w:r>
    </w:p>
    <w:p w14:paraId="321B282C"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6E0DFBF" w14:textId="77777777" w:rsidR="003B40DD" w:rsidRPr="005B3ABD" w:rsidRDefault="003B40DD" w:rsidP="003B40DD">
      <w:pPr>
        <w:pStyle w:val="NormalBold"/>
      </w:pPr>
      <w:r w:rsidRPr="005B3ABD">
        <w:rPr>
          <w:rStyle w:val="HideTWBExt"/>
          <w:b w:val="0"/>
          <w:noProof w:val="0"/>
          <w:color w:val="auto"/>
        </w:rPr>
        <w:t>&lt;Article&gt;</w:t>
      </w:r>
      <w:r w:rsidRPr="005B3ABD">
        <w:t>Recital 12</w:t>
      </w:r>
      <w:r w:rsidRPr="005B3AB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09E8897" w14:textId="77777777" w:rsidTr="00882D36">
        <w:trPr>
          <w:jc w:val="center"/>
        </w:trPr>
        <w:tc>
          <w:tcPr>
            <w:tcW w:w="9752" w:type="dxa"/>
            <w:gridSpan w:val="2"/>
          </w:tcPr>
          <w:p w14:paraId="0BF49255" w14:textId="77777777" w:rsidR="003B40DD" w:rsidRPr="005B3ABD" w:rsidRDefault="003B40DD" w:rsidP="00882D36">
            <w:pPr>
              <w:keepNext/>
            </w:pPr>
          </w:p>
        </w:tc>
      </w:tr>
      <w:tr w:rsidR="003B40DD" w:rsidRPr="005B3ABD" w14:paraId="78813DE6" w14:textId="77777777" w:rsidTr="00882D36">
        <w:trPr>
          <w:jc w:val="center"/>
        </w:trPr>
        <w:tc>
          <w:tcPr>
            <w:tcW w:w="4876" w:type="dxa"/>
          </w:tcPr>
          <w:p w14:paraId="1CEAEE29" w14:textId="77777777" w:rsidR="003B40DD" w:rsidRPr="005B3ABD" w:rsidRDefault="003B40DD" w:rsidP="00882D36">
            <w:pPr>
              <w:pStyle w:val="ColumnHeading"/>
              <w:keepNext/>
              <w:rPr>
                <w:color w:val="0000FA"/>
              </w:rPr>
            </w:pPr>
            <w:r w:rsidRPr="005B3ABD">
              <w:t>Text proposed by the Commission</w:t>
            </w:r>
          </w:p>
        </w:tc>
        <w:tc>
          <w:tcPr>
            <w:tcW w:w="4876" w:type="dxa"/>
          </w:tcPr>
          <w:p w14:paraId="7BBF648C" w14:textId="77777777" w:rsidR="003B40DD" w:rsidRPr="005B3ABD" w:rsidRDefault="003B40DD" w:rsidP="00882D36">
            <w:pPr>
              <w:pStyle w:val="ColumnHeading"/>
              <w:keepNext/>
              <w:rPr>
                <w:color w:val="0000F5"/>
              </w:rPr>
            </w:pPr>
            <w:r w:rsidRPr="005B3ABD">
              <w:t>Amendment</w:t>
            </w:r>
          </w:p>
        </w:tc>
      </w:tr>
      <w:tr w:rsidR="003B40DD" w:rsidRPr="005B3ABD" w14:paraId="09F43C22" w14:textId="77777777" w:rsidTr="00882D36">
        <w:trPr>
          <w:jc w:val="center"/>
        </w:trPr>
        <w:tc>
          <w:tcPr>
            <w:tcW w:w="4876" w:type="dxa"/>
          </w:tcPr>
          <w:p w14:paraId="1130A841" w14:textId="77777777" w:rsidR="003B40DD" w:rsidRPr="005B3ABD" w:rsidRDefault="003B40DD" w:rsidP="00882D36">
            <w:pPr>
              <w:pStyle w:val="Normal6"/>
              <w:rPr>
                <w:color w:val="0000FA"/>
              </w:rPr>
            </w:pPr>
            <w:r w:rsidRPr="005B3ABD">
              <w:rPr>
                <w:b/>
                <w:i/>
              </w:rPr>
              <w:t>(12)</w:t>
            </w:r>
            <w:r w:rsidRPr="005B3ABD">
              <w:rPr>
                <w:b/>
                <w:i/>
              </w:rPr>
              <w:tab/>
            </w:r>
            <w:r w:rsidRPr="005B3ABD">
              <w:rPr>
                <w:b/>
                <w:bCs/>
                <w:i/>
                <w:iCs/>
              </w:rPr>
              <w:t>The definition of a designation of origin should be aligned with the definition in the Agreement on Trade-Related Aspects of Intellectual Property Rights</w:t>
            </w:r>
            <w:r w:rsidRPr="005B3ABD">
              <w:rPr>
                <w:b/>
                <w:bCs/>
                <w:i/>
                <w:iCs/>
                <w:vertAlign w:val="superscript"/>
              </w:rPr>
              <w:t>12</w:t>
            </w:r>
            <w:r w:rsidRPr="005B3ABD">
              <w:rPr>
                <w:b/>
                <w:bCs/>
                <w:i/>
                <w:iCs/>
              </w:rPr>
              <w:t xml:space="preserve"> (‘TRIPS Agreement’), approved by Council Decision 94/800/EC</w:t>
            </w:r>
            <w:r w:rsidRPr="005B3ABD">
              <w:rPr>
                <w:b/>
                <w:bCs/>
                <w:i/>
                <w:iCs/>
                <w:vertAlign w:val="superscript"/>
              </w:rPr>
              <w:t>13</w:t>
            </w:r>
            <w:r w:rsidRPr="005B3ABD">
              <w:rPr>
                <w:b/>
                <w:bCs/>
                <w:i/>
                <w:iCs/>
              </w:rPr>
              <w:t>, in particular with Article 22(1) thereof, in that the name is to identify the product as originating in a specific region or a specific place.</w:t>
            </w:r>
          </w:p>
        </w:tc>
        <w:tc>
          <w:tcPr>
            <w:tcW w:w="4876" w:type="dxa"/>
          </w:tcPr>
          <w:p w14:paraId="12B3774B" w14:textId="77777777" w:rsidR="003B40DD" w:rsidRPr="005B3ABD" w:rsidRDefault="003B40DD" w:rsidP="00882D36">
            <w:pPr>
              <w:pStyle w:val="Normal6"/>
              <w:rPr>
                <w:color w:val="000005"/>
                <w:szCs w:val="24"/>
              </w:rPr>
            </w:pPr>
            <w:r w:rsidRPr="005B3ABD">
              <w:rPr>
                <w:b/>
                <w:i/>
              </w:rPr>
              <w:t>deleted</w:t>
            </w:r>
          </w:p>
        </w:tc>
      </w:tr>
      <w:tr w:rsidR="003B40DD" w:rsidRPr="005B3ABD" w14:paraId="51DE3A9E" w14:textId="77777777" w:rsidTr="00882D36">
        <w:trPr>
          <w:jc w:val="center"/>
        </w:trPr>
        <w:tc>
          <w:tcPr>
            <w:tcW w:w="4876" w:type="dxa"/>
          </w:tcPr>
          <w:p w14:paraId="79B3AD8E" w14:textId="77777777" w:rsidR="003B40DD" w:rsidRPr="005B3ABD" w:rsidRDefault="003B40DD" w:rsidP="00882D36">
            <w:pPr>
              <w:pStyle w:val="Normal6"/>
              <w:rPr>
                <w:color w:val="0000FA"/>
              </w:rPr>
            </w:pPr>
            <w:r w:rsidRPr="005B3ABD">
              <w:rPr>
                <w:b/>
                <w:i/>
              </w:rPr>
              <w:t>__________________</w:t>
            </w:r>
          </w:p>
        </w:tc>
        <w:tc>
          <w:tcPr>
            <w:tcW w:w="4876" w:type="dxa"/>
          </w:tcPr>
          <w:p w14:paraId="7D160C2E" w14:textId="77777777" w:rsidR="003B40DD" w:rsidRPr="005B3ABD" w:rsidRDefault="003B40DD" w:rsidP="00882D36">
            <w:pPr>
              <w:pStyle w:val="Normal6"/>
              <w:rPr>
                <w:color w:val="000005"/>
                <w:szCs w:val="24"/>
              </w:rPr>
            </w:pPr>
          </w:p>
        </w:tc>
      </w:tr>
      <w:tr w:rsidR="003B40DD" w:rsidRPr="005B3ABD" w14:paraId="64556907" w14:textId="77777777" w:rsidTr="00882D36">
        <w:trPr>
          <w:jc w:val="center"/>
        </w:trPr>
        <w:tc>
          <w:tcPr>
            <w:tcW w:w="4876" w:type="dxa"/>
          </w:tcPr>
          <w:p w14:paraId="557BAD9E" w14:textId="77777777" w:rsidR="003B40DD" w:rsidRPr="005B3ABD" w:rsidRDefault="003B40DD" w:rsidP="00882D36">
            <w:pPr>
              <w:pStyle w:val="Normal6"/>
              <w:rPr>
                <w:color w:val="0000FA"/>
              </w:rPr>
            </w:pPr>
            <w:r w:rsidRPr="005B3ABD">
              <w:rPr>
                <w:b/>
                <w:i/>
                <w:vertAlign w:val="superscript"/>
              </w:rPr>
              <w:lastRenderedPageBreak/>
              <w:t>12</w:t>
            </w:r>
            <w:r w:rsidRPr="005B3ABD">
              <w:t xml:space="preserve"> </w:t>
            </w:r>
            <w:r w:rsidRPr="005B3ABD">
              <w:rPr>
                <w:b/>
                <w:bCs/>
                <w:i/>
                <w:iCs/>
              </w:rPr>
              <w:t>Uruguay Round of Multilateral Trade Negotiations (1986- 1994) - Annex 1 - Annex 1C - Agreement on Trade-Related Aspects of Intellectual Property Rights (WTO) (OJ L 336, 23.12.1994, p. 214).</w:t>
            </w:r>
          </w:p>
        </w:tc>
        <w:tc>
          <w:tcPr>
            <w:tcW w:w="4876" w:type="dxa"/>
          </w:tcPr>
          <w:p w14:paraId="04C067A9" w14:textId="77777777" w:rsidR="003B40DD" w:rsidRPr="005B3ABD" w:rsidRDefault="003B40DD" w:rsidP="00882D36">
            <w:pPr>
              <w:pStyle w:val="Normal6"/>
              <w:rPr>
                <w:color w:val="000005"/>
                <w:szCs w:val="24"/>
              </w:rPr>
            </w:pPr>
          </w:p>
        </w:tc>
      </w:tr>
      <w:tr w:rsidR="003B40DD" w:rsidRPr="005B3ABD" w14:paraId="566EB507" w14:textId="77777777" w:rsidTr="00882D36">
        <w:trPr>
          <w:jc w:val="center"/>
        </w:trPr>
        <w:tc>
          <w:tcPr>
            <w:tcW w:w="4876" w:type="dxa"/>
          </w:tcPr>
          <w:p w14:paraId="3BAB18F2" w14:textId="77777777" w:rsidR="003B40DD" w:rsidRPr="005B3ABD" w:rsidRDefault="003B40DD" w:rsidP="00882D36">
            <w:pPr>
              <w:pStyle w:val="Normal6"/>
              <w:rPr>
                <w:color w:val="0000FA"/>
              </w:rPr>
            </w:pPr>
            <w:r w:rsidRPr="005B3ABD">
              <w:rPr>
                <w:b/>
                <w:i/>
                <w:vertAlign w:val="superscript"/>
              </w:rPr>
              <w:t>13</w:t>
            </w:r>
            <w:r w:rsidRPr="005B3ABD">
              <w:rPr>
                <w:b/>
                <w:bCs/>
                <w:i/>
                <w:iCs/>
              </w:rPr>
              <w:t xml:space="preserve"> Council Decision 94/800/EC of 22 December 1994 concerning the conclusion on behalf of the European Community, as regards matters within its competence, of the agreements reached in the Uruguay Round multilateral negotiations (1986-1994) (OJ L 336, 23.12.1994, p. 1).</w:t>
            </w:r>
          </w:p>
        </w:tc>
        <w:tc>
          <w:tcPr>
            <w:tcW w:w="4876" w:type="dxa"/>
          </w:tcPr>
          <w:p w14:paraId="2DE8C8DE" w14:textId="77777777" w:rsidR="003B40DD" w:rsidRPr="005B3ABD" w:rsidRDefault="003B40DD" w:rsidP="00882D36">
            <w:pPr>
              <w:pStyle w:val="Normal6"/>
              <w:rPr>
                <w:szCs w:val="24"/>
              </w:rPr>
            </w:pPr>
          </w:p>
        </w:tc>
      </w:tr>
    </w:tbl>
    <w:p w14:paraId="7023B93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5854D7F"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5FAC4CD" w14:textId="77777777" w:rsidR="003B40DD" w:rsidRPr="005B3ABD" w:rsidRDefault="003B40DD" w:rsidP="003B40DD">
      <w:pPr>
        <w:pStyle w:val="Normal12Italic"/>
      </w:pPr>
      <w:r w:rsidRPr="005B3ABD">
        <w:t>Since we have retained the definition of a designation of origin given in the international Lisbon Agreement, this recital becomes inappropriate as it refers to another definition of designation of origin that features in the Agreement on Trade-Related Aspects of Intellectual Property Rights (TRIPS).</w:t>
      </w:r>
    </w:p>
    <w:p w14:paraId="005CA0C7" w14:textId="77777777" w:rsidR="003B40DD" w:rsidRPr="005B3ABD" w:rsidRDefault="003B40DD" w:rsidP="003B40DD">
      <w:r w:rsidRPr="005B3ABD">
        <w:rPr>
          <w:rStyle w:val="HideTWBExt"/>
          <w:noProof w:val="0"/>
          <w:color w:val="auto"/>
        </w:rPr>
        <w:t>&lt;/Amend&gt;</w:t>
      </w:r>
    </w:p>
    <w:p w14:paraId="74DFFFA1"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w:t>
      </w:r>
      <w:r w:rsidRPr="005B3ABD">
        <w:rPr>
          <w:rStyle w:val="HideTWBExt"/>
          <w:b w:val="0"/>
          <w:noProof w:val="0"/>
          <w:color w:val="auto"/>
        </w:rPr>
        <w:t>&lt;/NumAm&gt;</w:t>
      </w:r>
    </w:p>
    <w:p w14:paraId="505EB9F3"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D107FDC" w14:textId="77777777" w:rsidR="003B40DD" w:rsidRPr="005B3ABD" w:rsidRDefault="003B40DD" w:rsidP="003B40DD">
      <w:pPr>
        <w:pStyle w:val="NormalBold"/>
      </w:pPr>
      <w:r w:rsidRPr="005B3ABD">
        <w:rPr>
          <w:rStyle w:val="HideTWBExt"/>
          <w:b w:val="0"/>
          <w:noProof w:val="0"/>
          <w:color w:val="auto"/>
        </w:rPr>
        <w:t>&lt;Article&gt;</w:t>
      </w:r>
      <w:r w:rsidRPr="005B3ABD">
        <w:t>Recital 20</w:t>
      </w:r>
      <w:r w:rsidRPr="005B3AB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9520597" w14:textId="77777777" w:rsidTr="00882D36">
        <w:trPr>
          <w:jc w:val="center"/>
        </w:trPr>
        <w:tc>
          <w:tcPr>
            <w:tcW w:w="9752" w:type="dxa"/>
            <w:gridSpan w:val="2"/>
          </w:tcPr>
          <w:p w14:paraId="5D05F9EE" w14:textId="77777777" w:rsidR="003B40DD" w:rsidRPr="005B3ABD" w:rsidRDefault="003B40DD" w:rsidP="00882D36">
            <w:pPr>
              <w:keepNext/>
            </w:pPr>
          </w:p>
        </w:tc>
      </w:tr>
      <w:tr w:rsidR="003B40DD" w:rsidRPr="005B3ABD" w14:paraId="02E5A35D" w14:textId="77777777" w:rsidTr="00882D36">
        <w:trPr>
          <w:jc w:val="center"/>
        </w:trPr>
        <w:tc>
          <w:tcPr>
            <w:tcW w:w="4876" w:type="dxa"/>
          </w:tcPr>
          <w:p w14:paraId="6AAD3B6F" w14:textId="77777777" w:rsidR="003B40DD" w:rsidRPr="005B3ABD" w:rsidRDefault="003B40DD" w:rsidP="00882D36">
            <w:pPr>
              <w:pStyle w:val="ColumnHeading"/>
              <w:keepNext/>
              <w:rPr>
                <w:color w:val="0000FA"/>
              </w:rPr>
            </w:pPr>
            <w:r w:rsidRPr="005B3ABD">
              <w:t>Text proposed by the Commission</w:t>
            </w:r>
          </w:p>
        </w:tc>
        <w:tc>
          <w:tcPr>
            <w:tcW w:w="4876" w:type="dxa"/>
          </w:tcPr>
          <w:p w14:paraId="12CDF967" w14:textId="77777777" w:rsidR="003B40DD" w:rsidRPr="005B3ABD" w:rsidRDefault="003B40DD" w:rsidP="00882D36">
            <w:pPr>
              <w:pStyle w:val="ColumnHeading"/>
              <w:keepNext/>
              <w:rPr>
                <w:color w:val="0000F5"/>
              </w:rPr>
            </w:pPr>
            <w:r w:rsidRPr="005B3ABD">
              <w:t>Amendment</w:t>
            </w:r>
          </w:p>
        </w:tc>
      </w:tr>
      <w:tr w:rsidR="003B40DD" w:rsidRPr="005B3ABD" w14:paraId="29AF211A" w14:textId="77777777" w:rsidTr="00882D36">
        <w:trPr>
          <w:jc w:val="center"/>
        </w:trPr>
        <w:tc>
          <w:tcPr>
            <w:tcW w:w="4876" w:type="dxa"/>
          </w:tcPr>
          <w:p w14:paraId="3EB8CA14" w14:textId="77777777" w:rsidR="003B40DD" w:rsidRPr="005B3ABD" w:rsidRDefault="003B40DD" w:rsidP="00882D36">
            <w:pPr>
              <w:pStyle w:val="Normal6"/>
              <w:rPr>
                <w:color w:val="0000FA"/>
              </w:rPr>
            </w:pPr>
            <w:r w:rsidRPr="005B3ABD">
              <w:rPr>
                <w:b/>
                <w:i/>
              </w:rPr>
              <w:t>(20)</w:t>
            </w:r>
            <w:r w:rsidRPr="005B3ABD">
              <w:rPr>
                <w:b/>
                <w:i/>
              </w:rPr>
              <w:tab/>
              <w:t>In view of the ever increasing consumer demand for innovative grapevine products with a lower actual alcoholic strength than the minimum actual alcoholic strength set out for grapevine products in Part II of Annex VII to Regulation (EU) No 1308/2013, it should be possible to produce such innovative grapevine products also in the Union.</w:t>
            </w:r>
          </w:p>
        </w:tc>
        <w:tc>
          <w:tcPr>
            <w:tcW w:w="4876" w:type="dxa"/>
          </w:tcPr>
          <w:p w14:paraId="522D29F3" w14:textId="77777777" w:rsidR="003B40DD" w:rsidRPr="005B3ABD" w:rsidRDefault="003B40DD" w:rsidP="00882D36">
            <w:pPr>
              <w:pStyle w:val="Normal6"/>
              <w:rPr>
                <w:szCs w:val="24"/>
              </w:rPr>
            </w:pPr>
            <w:r w:rsidRPr="005B3ABD">
              <w:rPr>
                <w:b/>
                <w:i/>
              </w:rPr>
              <w:t>deleted</w:t>
            </w:r>
          </w:p>
        </w:tc>
      </w:tr>
    </w:tbl>
    <w:p w14:paraId="3E95A36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DAAB92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98CF37D" w14:textId="77777777" w:rsidR="003B40DD" w:rsidRPr="005B3ABD" w:rsidRDefault="003B40DD" w:rsidP="003B40DD">
      <w:pPr>
        <w:pStyle w:val="Normal12Italic"/>
      </w:pPr>
      <w:r w:rsidRPr="005B3ABD">
        <w:t xml:space="preserve">The creation of this new category of de-alcoholised wines does not correspond to the </w:t>
      </w:r>
      <w:r w:rsidRPr="005B3ABD">
        <w:lastRenderedPageBreak/>
        <w:t>definition of wine in Annex VII Part II of the CMO Regulation. De-alcoholised wines require the addition of aromas to compensate for their loss in alcohol and are assimilated to industrial products. These wine-based products should not fall under CMO rules but rather under Regulation 251/2014 on aromatised wines.</w:t>
      </w:r>
    </w:p>
    <w:p w14:paraId="5F65EDB5" w14:textId="77777777" w:rsidR="003B40DD" w:rsidRPr="005B3ABD" w:rsidRDefault="003B40DD" w:rsidP="003B40DD">
      <w:r w:rsidRPr="005B3ABD">
        <w:rPr>
          <w:rStyle w:val="HideTWBExt"/>
          <w:noProof w:val="0"/>
          <w:color w:val="auto"/>
        </w:rPr>
        <w:t>&lt;/Amend&gt;</w:t>
      </w:r>
    </w:p>
    <w:p w14:paraId="1612D3A0"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w:t>
      </w:r>
      <w:r w:rsidRPr="005B3ABD">
        <w:rPr>
          <w:rStyle w:val="HideTWBExt"/>
          <w:b w:val="0"/>
          <w:noProof w:val="0"/>
          <w:color w:val="auto"/>
        </w:rPr>
        <w:t>&lt;/NumAm&gt;</w:t>
      </w:r>
    </w:p>
    <w:p w14:paraId="6B4D6AA1"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4008399" w14:textId="77777777" w:rsidR="003B40DD" w:rsidRPr="005B3ABD" w:rsidRDefault="003B40DD" w:rsidP="003B40DD">
      <w:pPr>
        <w:pStyle w:val="NormalBold"/>
      </w:pPr>
      <w:r w:rsidRPr="005B3ABD">
        <w:rPr>
          <w:rStyle w:val="HideTWBExt"/>
          <w:b w:val="0"/>
          <w:noProof w:val="0"/>
          <w:color w:val="auto"/>
        </w:rPr>
        <w:t>&lt;Article&gt;</w:t>
      </w:r>
      <w:r w:rsidRPr="005B3ABD">
        <w:t>Recital 21</w:t>
      </w:r>
      <w:r w:rsidRPr="005B3AB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55A4E39" w14:textId="77777777" w:rsidTr="00882D36">
        <w:trPr>
          <w:jc w:val="center"/>
        </w:trPr>
        <w:tc>
          <w:tcPr>
            <w:tcW w:w="9752" w:type="dxa"/>
            <w:gridSpan w:val="2"/>
          </w:tcPr>
          <w:p w14:paraId="72C547A4" w14:textId="77777777" w:rsidR="003B40DD" w:rsidRPr="005B3ABD" w:rsidRDefault="003B40DD" w:rsidP="00882D36">
            <w:pPr>
              <w:keepNext/>
            </w:pPr>
          </w:p>
        </w:tc>
      </w:tr>
      <w:tr w:rsidR="003B40DD" w:rsidRPr="005B3ABD" w14:paraId="5D80EC7A" w14:textId="77777777" w:rsidTr="00882D36">
        <w:trPr>
          <w:jc w:val="center"/>
        </w:trPr>
        <w:tc>
          <w:tcPr>
            <w:tcW w:w="4876" w:type="dxa"/>
          </w:tcPr>
          <w:p w14:paraId="4477AD0F" w14:textId="77777777" w:rsidR="003B40DD" w:rsidRPr="005B3ABD" w:rsidRDefault="003B40DD" w:rsidP="00882D36">
            <w:pPr>
              <w:pStyle w:val="ColumnHeading"/>
              <w:keepNext/>
              <w:rPr>
                <w:color w:val="0000FA"/>
              </w:rPr>
            </w:pPr>
            <w:r w:rsidRPr="005B3ABD">
              <w:t>Text proposed by the Commission</w:t>
            </w:r>
          </w:p>
        </w:tc>
        <w:tc>
          <w:tcPr>
            <w:tcW w:w="4876" w:type="dxa"/>
          </w:tcPr>
          <w:p w14:paraId="3E36F5CF" w14:textId="77777777" w:rsidR="003B40DD" w:rsidRPr="005B3ABD" w:rsidRDefault="003B40DD" w:rsidP="00882D36">
            <w:pPr>
              <w:pStyle w:val="ColumnHeading"/>
              <w:keepNext/>
              <w:rPr>
                <w:color w:val="0000F5"/>
              </w:rPr>
            </w:pPr>
            <w:r w:rsidRPr="005B3ABD">
              <w:t>Amendment</w:t>
            </w:r>
          </w:p>
        </w:tc>
      </w:tr>
      <w:tr w:rsidR="003B40DD" w:rsidRPr="005B3ABD" w14:paraId="1C736D75" w14:textId="77777777" w:rsidTr="00882D36">
        <w:trPr>
          <w:jc w:val="center"/>
        </w:trPr>
        <w:tc>
          <w:tcPr>
            <w:tcW w:w="4876" w:type="dxa"/>
          </w:tcPr>
          <w:p w14:paraId="35FCDBD6" w14:textId="77777777" w:rsidR="003B40DD" w:rsidRPr="005B3ABD" w:rsidRDefault="003B40DD" w:rsidP="00882D36">
            <w:pPr>
              <w:pStyle w:val="Normal6"/>
              <w:rPr>
                <w:color w:val="0000FA"/>
              </w:rPr>
            </w:pPr>
            <w:r w:rsidRPr="005B3ABD">
              <w:rPr>
                <w:b/>
                <w:i/>
              </w:rPr>
              <w:t>(21)</w:t>
            </w:r>
            <w:r w:rsidRPr="005B3ABD">
              <w:rPr>
                <w:b/>
                <w:i/>
              </w:rPr>
              <w:tab/>
              <w:t>It is necessary to provide for definitions of de-alcoholised grapevine products and partially de-alcoholised grapevine products. These definitions should take into account the definitions set out in the Resolutions of the International Organisation of Vine and Wine (OIV), OIV-ECO 433-2012 Beverage Obtained By Partial Dealcoholisation of Wine and OIV-ECO 523-2016 Wine With An Alcohol Content Modified by Dealcoholisation.</w:t>
            </w:r>
          </w:p>
        </w:tc>
        <w:tc>
          <w:tcPr>
            <w:tcW w:w="4876" w:type="dxa"/>
          </w:tcPr>
          <w:p w14:paraId="408A8093" w14:textId="77777777" w:rsidR="003B40DD" w:rsidRPr="005B3ABD" w:rsidRDefault="003B40DD" w:rsidP="00882D36">
            <w:pPr>
              <w:pStyle w:val="Normal6"/>
              <w:rPr>
                <w:szCs w:val="24"/>
              </w:rPr>
            </w:pPr>
            <w:r w:rsidRPr="005B3ABD">
              <w:rPr>
                <w:b/>
                <w:i/>
              </w:rPr>
              <w:t>deleted</w:t>
            </w:r>
          </w:p>
        </w:tc>
      </w:tr>
    </w:tbl>
    <w:p w14:paraId="133AE41E"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54E18B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017A2DD" w14:textId="77777777" w:rsidR="003B40DD" w:rsidRPr="005B3ABD" w:rsidRDefault="003B40DD" w:rsidP="003B40DD">
      <w:pPr>
        <w:pStyle w:val="Normal12Italic"/>
      </w:pPr>
      <w:r w:rsidRPr="005B3ABD">
        <w:t>The creation of this new category of de-alcoholised wines does not correspond to the definition of wine in Annex VII Part II of the CMO Regulation. De-alcoholised wines require the addition of aromas to compensate for their loss in alcohol and are assimilated to industrial products. These wine-based products should not fall under CMO rules but rather under Regulation 251/2014 on aromatised wines.</w:t>
      </w:r>
    </w:p>
    <w:p w14:paraId="15CFC577" w14:textId="77777777" w:rsidR="003B40DD" w:rsidRPr="005B3ABD" w:rsidRDefault="003B40DD" w:rsidP="003B40DD">
      <w:r w:rsidRPr="005B3ABD">
        <w:rPr>
          <w:rStyle w:val="HideTWBExt"/>
          <w:noProof w:val="0"/>
          <w:color w:val="auto"/>
        </w:rPr>
        <w:t>&lt;/Amend&gt;</w:t>
      </w:r>
    </w:p>
    <w:p w14:paraId="1EDAF73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w:t>
      </w:r>
      <w:r w:rsidRPr="005B3ABD">
        <w:rPr>
          <w:rStyle w:val="HideTWBExt"/>
          <w:b w:val="0"/>
          <w:noProof w:val="0"/>
          <w:color w:val="auto"/>
        </w:rPr>
        <w:t>&lt;/NumAm&gt;</w:t>
      </w:r>
    </w:p>
    <w:p w14:paraId="514BA884"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E8CA31F" w14:textId="77777777" w:rsidR="003B40DD" w:rsidRPr="005B3ABD" w:rsidRDefault="003B40DD" w:rsidP="003B40DD">
      <w:pPr>
        <w:pStyle w:val="NormalBold"/>
      </w:pPr>
      <w:r w:rsidRPr="005B3ABD">
        <w:rPr>
          <w:rStyle w:val="HideTWBExt"/>
          <w:b w:val="0"/>
          <w:noProof w:val="0"/>
          <w:color w:val="auto"/>
        </w:rPr>
        <w:t>&lt;Article&gt;</w:t>
      </w:r>
      <w:r w:rsidRPr="005B3ABD">
        <w:t>Recital 22</w:t>
      </w:r>
      <w:r w:rsidRPr="005B3AB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A9AEBFE" w14:textId="77777777" w:rsidTr="00882D36">
        <w:trPr>
          <w:jc w:val="center"/>
        </w:trPr>
        <w:tc>
          <w:tcPr>
            <w:tcW w:w="9752" w:type="dxa"/>
            <w:gridSpan w:val="2"/>
          </w:tcPr>
          <w:p w14:paraId="545ACDED" w14:textId="77777777" w:rsidR="003B40DD" w:rsidRPr="005B3ABD" w:rsidRDefault="003B40DD" w:rsidP="00882D36">
            <w:pPr>
              <w:keepNext/>
            </w:pPr>
          </w:p>
        </w:tc>
      </w:tr>
      <w:tr w:rsidR="003B40DD" w:rsidRPr="005B3ABD" w14:paraId="79B2F743" w14:textId="77777777" w:rsidTr="00882D36">
        <w:trPr>
          <w:jc w:val="center"/>
        </w:trPr>
        <w:tc>
          <w:tcPr>
            <w:tcW w:w="4876" w:type="dxa"/>
          </w:tcPr>
          <w:p w14:paraId="645C4284" w14:textId="77777777" w:rsidR="003B40DD" w:rsidRPr="005B3ABD" w:rsidRDefault="003B40DD" w:rsidP="00882D36">
            <w:pPr>
              <w:pStyle w:val="ColumnHeading"/>
              <w:keepNext/>
              <w:rPr>
                <w:color w:val="0000FA"/>
              </w:rPr>
            </w:pPr>
            <w:r w:rsidRPr="005B3ABD">
              <w:t>Text proposed by the Commission</w:t>
            </w:r>
          </w:p>
        </w:tc>
        <w:tc>
          <w:tcPr>
            <w:tcW w:w="4876" w:type="dxa"/>
          </w:tcPr>
          <w:p w14:paraId="4270BA96" w14:textId="77777777" w:rsidR="003B40DD" w:rsidRPr="005B3ABD" w:rsidRDefault="003B40DD" w:rsidP="00882D36">
            <w:pPr>
              <w:pStyle w:val="ColumnHeading"/>
              <w:keepNext/>
              <w:rPr>
                <w:color w:val="0000F5"/>
              </w:rPr>
            </w:pPr>
            <w:r w:rsidRPr="005B3ABD">
              <w:t>Amendment</w:t>
            </w:r>
          </w:p>
        </w:tc>
      </w:tr>
      <w:tr w:rsidR="003B40DD" w:rsidRPr="005B3ABD" w14:paraId="380BF116" w14:textId="77777777" w:rsidTr="00882D36">
        <w:trPr>
          <w:jc w:val="center"/>
        </w:trPr>
        <w:tc>
          <w:tcPr>
            <w:tcW w:w="4876" w:type="dxa"/>
          </w:tcPr>
          <w:p w14:paraId="61C4BF52" w14:textId="77777777" w:rsidR="003B40DD" w:rsidRPr="005B3ABD" w:rsidRDefault="003B40DD" w:rsidP="00882D36">
            <w:pPr>
              <w:pStyle w:val="Normal6"/>
              <w:rPr>
                <w:color w:val="0000FA"/>
              </w:rPr>
            </w:pPr>
            <w:r w:rsidRPr="005B3ABD">
              <w:rPr>
                <w:b/>
                <w:i/>
              </w:rPr>
              <w:t>(22)</w:t>
            </w:r>
            <w:r w:rsidRPr="005B3ABD">
              <w:rPr>
                <w:b/>
                <w:i/>
              </w:rPr>
              <w:tab/>
              <w:t xml:space="preserve">In order to ensure that the rules governing labelling and presentation of products in the wine sector also apply to de-alcoholised or partially de-alcoholised grapevine products, to establish rules </w:t>
            </w:r>
            <w:r w:rsidRPr="005B3ABD">
              <w:rPr>
                <w:b/>
                <w:i/>
              </w:rPr>
              <w:lastRenderedPageBreak/>
              <w:t>governing the dealcoholisation processes for the production of certain de-alcoholised or partially de-alcoholised grapevine products within the Union, and rules concerning the conditions of use of closures in the wine sector in order to ensure that consumers are protected from misleading use of certain closures associated with certain beverages and from hazardous closure materials that may contaminate the beverages, the power to adopt acts in accordance with Article 290 of the Treaty on the Functioning of the European Union should be delegated to the Commission.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876" w:type="dxa"/>
          </w:tcPr>
          <w:p w14:paraId="53ECA1E7" w14:textId="77777777" w:rsidR="003B40DD" w:rsidRPr="005B3ABD" w:rsidRDefault="003B40DD" w:rsidP="00882D36">
            <w:pPr>
              <w:pStyle w:val="Normal6"/>
              <w:rPr>
                <w:szCs w:val="24"/>
              </w:rPr>
            </w:pPr>
            <w:r w:rsidRPr="005B3ABD">
              <w:rPr>
                <w:b/>
                <w:i/>
              </w:rPr>
              <w:lastRenderedPageBreak/>
              <w:t>deleted</w:t>
            </w:r>
          </w:p>
        </w:tc>
      </w:tr>
    </w:tbl>
    <w:p w14:paraId="3D2CAE7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62EAE8C"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7EB3973" w14:textId="77777777" w:rsidR="003B40DD" w:rsidRPr="005B3ABD" w:rsidRDefault="003B40DD" w:rsidP="003B40DD">
      <w:pPr>
        <w:pStyle w:val="Normal12Italic"/>
      </w:pPr>
      <w:r w:rsidRPr="005B3ABD">
        <w:t>The creation of this new category of de-alcoholised wines does not correspond to the definition of wine in Annex VII Part II of the CMO Regulation. De-alcoholised wines require the addition of aromas to compensate for their loss in alcohol and are assimilated to industrial products. These wine-based products should not fall under CMO rules but rather under Regulation 251/2014 on aromatised wines.</w:t>
      </w:r>
    </w:p>
    <w:p w14:paraId="1607F614" w14:textId="77777777" w:rsidR="003B40DD" w:rsidRPr="005B3ABD" w:rsidRDefault="003B40DD" w:rsidP="003B40DD">
      <w:r w:rsidRPr="005B3ABD">
        <w:rPr>
          <w:rStyle w:val="HideTWBExt"/>
          <w:noProof w:val="0"/>
          <w:color w:val="auto"/>
        </w:rPr>
        <w:t>&lt;/Amend&gt;</w:t>
      </w:r>
    </w:p>
    <w:p w14:paraId="3007A9A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w:t>
      </w:r>
      <w:r w:rsidRPr="005B3ABD">
        <w:rPr>
          <w:rStyle w:val="HideTWBExt"/>
          <w:b w:val="0"/>
          <w:noProof w:val="0"/>
          <w:color w:val="auto"/>
        </w:rPr>
        <w:t>&lt;/NumAm&gt;</w:t>
      </w:r>
    </w:p>
    <w:p w14:paraId="31051A14"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BC64F0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 (new)</w:t>
      </w:r>
      <w:r w:rsidRPr="005B3ABD">
        <w:rPr>
          <w:rStyle w:val="HideTWBExt"/>
          <w:b w:val="0"/>
          <w:noProof w:val="0"/>
          <w:color w:val="auto"/>
        </w:rPr>
        <w:t>&lt;/Article&gt;</w:t>
      </w:r>
    </w:p>
    <w:p w14:paraId="71D195C1" w14:textId="77777777" w:rsidR="003B40DD" w:rsidRPr="005B3ABD" w:rsidRDefault="003B40DD" w:rsidP="003B40DD">
      <w:pPr>
        <w:keepNext/>
      </w:pPr>
      <w:r w:rsidRPr="005B3ABD">
        <w:rPr>
          <w:rStyle w:val="HideTWBExt"/>
          <w:noProof w:val="0"/>
          <w:color w:val="auto"/>
        </w:rPr>
        <w:lastRenderedPageBreak/>
        <w:t>&lt;DocAmend2&gt;</w:t>
      </w:r>
      <w:r w:rsidRPr="005B3ABD">
        <w:t>Regulation (EU) No 1308/2013</w:t>
      </w:r>
      <w:r w:rsidRPr="005B3ABD">
        <w:rPr>
          <w:rStyle w:val="HideTWBExt"/>
          <w:noProof w:val="0"/>
          <w:color w:val="auto"/>
        </w:rPr>
        <w:t>&lt;/DocAmend2&gt;</w:t>
      </w:r>
    </w:p>
    <w:p w14:paraId="106AF664" w14:textId="77777777" w:rsidR="003B40DD" w:rsidRPr="005B3ABD" w:rsidRDefault="003B40DD" w:rsidP="003B40DD">
      <w:r w:rsidRPr="005B3ABD">
        <w:rPr>
          <w:rStyle w:val="HideTWBExt"/>
          <w:noProof w:val="0"/>
          <w:color w:val="auto"/>
        </w:rPr>
        <w:t>&lt;Article2&gt;</w:t>
      </w:r>
      <w:r w:rsidRPr="005B3ABD">
        <w:t>Article 1 – paragraph 1</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6FE1BCC" w14:textId="77777777" w:rsidTr="00882D36">
        <w:trPr>
          <w:jc w:val="center"/>
        </w:trPr>
        <w:tc>
          <w:tcPr>
            <w:tcW w:w="9752" w:type="dxa"/>
            <w:gridSpan w:val="2"/>
          </w:tcPr>
          <w:p w14:paraId="727B15BE" w14:textId="77777777" w:rsidR="003B40DD" w:rsidRPr="005B3ABD" w:rsidRDefault="003B40DD" w:rsidP="00882D36">
            <w:pPr>
              <w:keepNext/>
            </w:pPr>
          </w:p>
        </w:tc>
      </w:tr>
      <w:tr w:rsidR="003B40DD" w:rsidRPr="005B3ABD" w14:paraId="48B482DD" w14:textId="77777777" w:rsidTr="00882D36">
        <w:trPr>
          <w:jc w:val="center"/>
        </w:trPr>
        <w:tc>
          <w:tcPr>
            <w:tcW w:w="4876" w:type="dxa"/>
          </w:tcPr>
          <w:p w14:paraId="0D7D5208" w14:textId="77777777" w:rsidR="003B40DD" w:rsidRPr="005B3ABD" w:rsidRDefault="003B40DD" w:rsidP="00882D36">
            <w:pPr>
              <w:pStyle w:val="ColumnHeading"/>
              <w:keepNext/>
              <w:rPr>
                <w:color w:val="0000FA"/>
              </w:rPr>
            </w:pPr>
            <w:r w:rsidRPr="005B3ABD">
              <w:t>This text</w:t>
            </w:r>
          </w:p>
        </w:tc>
        <w:tc>
          <w:tcPr>
            <w:tcW w:w="4876" w:type="dxa"/>
          </w:tcPr>
          <w:p w14:paraId="1BC0A632" w14:textId="77777777" w:rsidR="003B40DD" w:rsidRPr="005B3ABD" w:rsidRDefault="003B40DD" w:rsidP="00882D36">
            <w:pPr>
              <w:pStyle w:val="ColumnHeading"/>
              <w:keepNext/>
              <w:rPr>
                <w:color w:val="0000F5"/>
              </w:rPr>
            </w:pPr>
            <w:r w:rsidRPr="005B3ABD">
              <w:t>Amendment</w:t>
            </w:r>
          </w:p>
        </w:tc>
      </w:tr>
      <w:tr w:rsidR="003B40DD" w:rsidRPr="005B3ABD" w14:paraId="37695286" w14:textId="77777777" w:rsidTr="00882D36">
        <w:trPr>
          <w:jc w:val="center"/>
        </w:trPr>
        <w:tc>
          <w:tcPr>
            <w:tcW w:w="4876" w:type="dxa"/>
          </w:tcPr>
          <w:p w14:paraId="500D22B0" w14:textId="77777777" w:rsidR="003B40DD" w:rsidRPr="005B3ABD" w:rsidRDefault="003B40DD" w:rsidP="00882D36">
            <w:pPr>
              <w:pStyle w:val="Normal6"/>
              <w:rPr>
                <w:color w:val="0000FA"/>
              </w:rPr>
            </w:pPr>
          </w:p>
        </w:tc>
        <w:tc>
          <w:tcPr>
            <w:tcW w:w="4876" w:type="dxa"/>
          </w:tcPr>
          <w:p w14:paraId="22F8A1F1" w14:textId="77777777" w:rsidR="003B40DD" w:rsidRPr="005B3ABD" w:rsidRDefault="003B40DD" w:rsidP="00882D36">
            <w:pPr>
              <w:pStyle w:val="Normal6"/>
              <w:rPr>
                <w:color w:val="000005"/>
                <w:szCs w:val="24"/>
              </w:rPr>
            </w:pPr>
            <w:r w:rsidRPr="005B3ABD">
              <w:rPr>
                <w:b/>
                <w:i/>
              </w:rPr>
              <w:t>-1)</w:t>
            </w:r>
            <w:r w:rsidRPr="005B3ABD">
              <w:rPr>
                <w:b/>
                <w:i/>
              </w:rPr>
              <w:tab/>
              <w:t>Article 1(1) is replaced by:</w:t>
            </w:r>
          </w:p>
        </w:tc>
      </w:tr>
      <w:tr w:rsidR="003B40DD" w:rsidRPr="005B3ABD" w14:paraId="19D905E8" w14:textId="77777777" w:rsidTr="00882D36">
        <w:trPr>
          <w:jc w:val="center"/>
        </w:trPr>
        <w:tc>
          <w:tcPr>
            <w:tcW w:w="4876" w:type="dxa"/>
          </w:tcPr>
          <w:p w14:paraId="5E8FAC74" w14:textId="77777777" w:rsidR="003B40DD" w:rsidRPr="005B3ABD" w:rsidRDefault="003B40DD" w:rsidP="00882D36">
            <w:pPr>
              <w:pStyle w:val="Normal6"/>
              <w:rPr>
                <w:color w:val="0000FA"/>
              </w:rPr>
            </w:pPr>
            <w:r w:rsidRPr="005B3ABD">
              <w:t>1. This Regulation establishes a common organisation of the markets for agricultural products, which means all the products listed in Annex I to the Treaties with the exception of the fishery and aquaculture products as defined in Union legislative acts on the common organisation of the markets in fishery and aquaculture products.</w:t>
            </w:r>
          </w:p>
        </w:tc>
        <w:tc>
          <w:tcPr>
            <w:tcW w:w="4876" w:type="dxa"/>
          </w:tcPr>
          <w:p w14:paraId="48D7CCCF" w14:textId="77777777" w:rsidR="003B40DD" w:rsidRPr="005B3ABD" w:rsidRDefault="003B40DD" w:rsidP="00882D36">
            <w:pPr>
              <w:pStyle w:val="Normal6"/>
              <w:rPr>
                <w:szCs w:val="24"/>
              </w:rPr>
            </w:pPr>
            <w:r w:rsidRPr="005B3ABD">
              <w:t xml:space="preserve">“1. This Regulation establishes a common organisation of the markets for agricultural products, which means all the products listed in Annex I to the Treaties with the exception of the fishery and aquaculture products as defined in Union legislative acts on the common organisation of the markets in fishery and aquaculture products. </w:t>
            </w:r>
            <w:r w:rsidRPr="005B3ABD">
              <w:rPr>
                <w:b/>
                <w:i/>
              </w:rPr>
              <w:t>This Regulation defines the public standards, market transparency rules and crisis management tools that will allow public authorities, starting with the Commission, to ensure the surveillance, management and regulation of agricultural markets. This Regulation brings together all the measures at the Commission’s disposal to fulfil its obligations in terms of cooperation with the authorities responsible for regulating financial markets as defined in Regulations No 65/2014 and No 596/2014.”</w:t>
            </w:r>
          </w:p>
        </w:tc>
      </w:tr>
    </w:tbl>
    <w:p w14:paraId="35C44D8E"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6E003DF" w14:textId="77777777" w:rsidR="003B40DD" w:rsidRPr="005B3ABD" w:rsidRDefault="003B40DD" w:rsidP="003B40DD">
      <w:pPr>
        <w:pStyle w:val="CrossRef"/>
      </w:pPr>
      <w:r w:rsidRPr="005B3ABD">
        <w:t>(https://eur-lex.europa.eu/legal-content/EN/TXT/?uri=CELEX:02013R1308-20180101)</w:t>
      </w:r>
    </w:p>
    <w:p w14:paraId="1B016033"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ED4445E" w14:textId="77777777" w:rsidR="003B40DD" w:rsidRPr="005B3ABD" w:rsidRDefault="003B40DD" w:rsidP="003B40DD">
      <w:pPr>
        <w:pStyle w:val="Normal12Italic"/>
      </w:pPr>
      <w:r w:rsidRPr="005B3ABD">
        <w:t>By highlighting the sectoral interventions of the CMO Regulation to include them in the new Strategic Plans Regulation, the Commission refocuses the CMO Regulation on the levers that public authorities have at their disposal to improve the functioning of markets by defining public standards, transparency rules and means to respond to crises. The proposed amendment also specifies the duty to cooperate with the authorities responsible for regulating financial markets pursuant to the review of the Directive on financial markets (MIFID2 – Article 79-7) and the Market Abuse Regulation (MAR – Article 25).</w:t>
      </w:r>
    </w:p>
    <w:p w14:paraId="504F9AB2" w14:textId="77777777" w:rsidR="003B40DD" w:rsidRPr="005B3ABD" w:rsidRDefault="003B40DD" w:rsidP="003B40DD">
      <w:r w:rsidRPr="005B3ABD">
        <w:rPr>
          <w:rStyle w:val="HideTWBExt"/>
          <w:noProof w:val="0"/>
          <w:color w:val="auto"/>
        </w:rPr>
        <w:t>&lt;/Amend&gt;</w:t>
      </w:r>
    </w:p>
    <w:p w14:paraId="165E4C5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w:t>
      </w:r>
      <w:r w:rsidRPr="005B3ABD">
        <w:rPr>
          <w:rStyle w:val="HideTWBExt"/>
          <w:b w:val="0"/>
          <w:noProof w:val="0"/>
          <w:color w:val="auto"/>
        </w:rPr>
        <w:t>&lt;/NumAm&gt;</w:t>
      </w:r>
    </w:p>
    <w:p w14:paraId="3AA3154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D73E158"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a (new)</w:t>
      </w:r>
      <w:r w:rsidRPr="005B3ABD">
        <w:rPr>
          <w:rStyle w:val="HideTWBExt"/>
          <w:b w:val="0"/>
          <w:noProof w:val="0"/>
          <w:color w:val="auto"/>
        </w:rPr>
        <w:t>&lt;/Article&gt;</w:t>
      </w:r>
    </w:p>
    <w:p w14:paraId="0198A851" w14:textId="77777777" w:rsidR="003B40DD" w:rsidRPr="005B3ABD" w:rsidRDefault="003B40DD" w:rsidP="003B40DD">
      <w:pPr>
        <w:keepNext/>
      </w:pPr>
      <w:r w:rsidRPr="005B3ABD">
        <w:rPr>
          <w:rStyle w:val="HideTWBExt"/>
          <w:noProof w:val="0"/>
          <w:color w:val="auto"/>
        </w:rPr>
        <w:lastRenderedPageBreak/>
        <w:t>&lt;DocAmend2&gt;</w:t>
      </w:r>
      <w:r w:rsidRPr="005B3ABD">
        <w:t>Regulation (EU) No 1308/2013</w:t>
      </w:r>
      <w:r w:rsidRPr="005B3ABD">
        <w:rPr>
          <w:rStyle w:val="HideTWBExt"/>
          <w:noProof w:val="0"/>
          <w:color w:val="auto"/>
        </w:rPr>
        <w:t>&lt;/DocAmend2&gt;</w:t>
      </w:r>
    </w:p>
    <w:p w14:paraId="587DD981" w14:textId="77777777" w:rsidR="003B40DD" w:rsidRPr="005B3ABD" w:rsidRDefault="003B40DD" w:rsidP="003B40DD">
      <w:r w:rsidRPr="005B3ABD">
        <w:rPr>
          <w:rStyle w:val="HideTWBExt"/>
          <w:noProof w:val="0"/>
          <w:color w:val="auto"/>
        </w:rPr>
        <w:t>&lt;Article2&gt;</w:t>
      </w:r>
      <w:r w:rsidRPr="005B3ABD">
        <w:t>Article 7(1)(f)</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BC45E96" w14:textId="77777777" w:rsidTr="00882D36">
        <w:trPr>
          <w:jc w:val="center"/>
        </w:trPr>
        <w:tc>
          <w:tcPr>
            <w:tcW w:w="9752" w:type="dxa"/>
            <w:gridSpan w:val="2"/>
          </w:tcPr>
          <w:p w14:paraId="6F0E1EE6" w14:textId="77777777" w:rsidR="003B40DD" w:rsidRPr="005B3ABD" w:rsidRDefault="003B40DD" w:rsidP="00882D36">
            <w:pPr>
              <w:keepNext/>
            </w:pPr>
          </w:p>
        </w:tc>
      </w:tr>
      <w:tr w:rsidR="003B40DD" w:rsidRPr="005B3ABD" w14:paraId="59FCE666" w14:textId="77777777" w:rsidTr="00882D36">
        <w:trPr>
          <w:jc w:val="center"/>
        </w:trPr>
        <w:tc>
          <w:tcPr>
            <w:tcW w:w="4876" w:type="dxa"/>
          </w:tcPr>
          <w:p w14:paraId="076D4BE1" w14:textId="77777777" w:rsidR="003B40DD" w:rsidRPr="005B3ABD" w:rsidRDefault="003B40DD" w:rsidP="00882D36">
            <w:pPr>
              <w:pStyle w:val="ColumnHeading"/>
              <w:keepNext/>
              <w:rPr>
                <w:color w:val="0000FA"/>
              </w:rPr>
            </w:pPr>
            <w:r w:rsidRPr="005B3ABD">
              <w:t>This text</w:t>
            </w:r>
          </w:p>
        </w:tc>
        <w:tc>
          <w:tcPr>
            <w:tcW w:w="4876" w:type="dxa"/>
          </w:tcPr>
          <w:p w14:paraId="0704B0BD" w14:textId="77777777" w:rsidR="003B40DD" w:rsidRPr="005B3ABD" w:rsidRDefault="003B40DD" w:rsidP="00882D36">
            <w:pPr>
              <w:pStyle w:val="ColumnHeading"/>
              <w:keepNext/>
              <w:rPr>
                <w:color w:val="0000F5"/>
              </w:rPr>
            </w:pPr>
            <w:r w:rsidRPr="005B3ABD">
              <w:t>Amendment</w:t>
            </w:r>
          </w:p>
        </w:tc>
      </w:tr>
      <w:tr w:rsidR="003B40DD" w:rsidRPr="005B3ABD" w14:paraId="06A897B5" w14:textId="77777777" w:rsidTr="00882D36">
        <w:trPr>
          <w:jc w:val="center"/>
        </w:trPr>
        <w:tc>
          <w:tcPr>
            <w:tcW w:w="4876" w:type="dxa"/>
          </w:tcPr>
          <w:p w14:paraId="561FC98B" w14:textId="77777777" w:rsidR="003B40DD" w:rsidRPr="005B3ABD" w:rsidRDefault="003B40DD" w:rsidP="00882D36">
            <w:pPr>
              <w:pStyle w:val="Normal6"/>
              <w:rPr>
                <w:color w:val="0000FA"/>
              </w:rPr>
            </w:pPr>
          </w:p>
        </w:tc>
        <w:tc>
          <w:tcPr>
            <w:tcW w:w="4876" w:type="dxa"/>
          </w:tcPr>
          <w:p w14:paraId="1C83C851" w14:textId="77777777" w:rsidR="003B40DD" w:rsidRPr="005B3ABD" w:rsidRDefault="003B40DD" w:rsidP="00882D36">
            <w:pPr>
              <w:pStyle w:val="Normal6"/>
              <w:rPr>
                <w:color w:val="000005"/>
                <w:szCs w:val="24"/>
              </w:rPr>
            </w:pPr>
            <w:r w:rsidRPr="005B3ABD">
              <w:rPr>
                <w:b/>
                <w:i/>
              </w:rPr>
              <w:t>(3 a)</w:t>
            </w:r>
            <w:r w:rsidRPr="005B3ABD">
              <w:rPr>
                <w:b/>
                <w:i/>
              </w:rPr>
              <w:tab/>
              <w:t>In Article 7(1), point (f) is replaced by the following:</w:t>
            </w:r>
          </w:p>
        </w:tc>
      </w:tr>
      <w:tr w:rsidR="003B40DD" w:rsidRPr="005B3ABD" w14:paraId="4AACE13A" w14:textId="77777777" w:rsidTr="00882D36">
        <w:trPr>
          <w:jc w:val="center"/>
        </w:trPr>
        <w:tc>
          <w:tcPr>
            <w:tcW w:w="4876" w:type="dxa"/>
          </w:tcPr>
          <w:p w14:paraId="0CD0AAC9" w14:textId="77777777" w:rsidR="003B40DD" w:rsidRPr="005B3ABD" w:rsidRDefault="003B40DD" w:rsidP="00882D36">
            <w:pPr>
              <w:pStyle w:val="Normal6"/>
              <w:rPr>
                <w:color w:val="0000FA"/>
              </w:rPr>
            </w:pPr>
            <w:r w:rsidRPr="005B3ABD">
              <w:t xml:space="preserve">(f) as regards pigmeat, EUR </w:t>
            </w:r>
            <w:r w:rsidRPr="005B3ABD">
              <w:rPr>
                <w:b/>
                <w:bCs/>
                <w:i/>
                <w:iCs/>
              </w:rPr>
              <w:t>1 509,39</w:t>
            </w:r>
            <w:r w:rsidRPr="005B3ABD">
              <w:t>/tonne for pig carcasses of a standard quality defined in terms of weight and lean meat content as laid down in the Union scale for the classification of pig carcasses referred to in point B of Annex IV as follows: i) carcasses weighing from 60 to less than 120 kg: grade E; ii) carcasses weighing from 120 to 180 kg: grade R.</w:t>
            </w:r>
          </w:p>
        </w:tc>
        <w:tc>
          <w:tcPr>
            <w:tcW w:w="4876" w:type="dxa"/>
          </w:tcPr>
          <w:p w14:paraId="3C34A50E" w14:textId="57A4DD9F" w:rsidR="003B40DD" w:rsidRPr="005B3ABD" w:rsidRDefault="003B40DD" w:rsidP="00882D36">
            <w:pPr>
              <w:pStyle w:val="Normal6"/>
              <w:rPr>
                <w:szCs w:val="24"/>
              </w:rPr>
            </w:pPr>
            <w:r w:rsidRPr="005B3ABD">
              <w:t xml:space="preserve">“f) as regards pigmeat, EUR </w:t>
            </w:r>
            <w:r w:rsidRPr="005B3ABD">
              <w:rPr>
                <w:b/>
                <w:bCs/>
                <w:i/>
                <w:iCs/>
              </w:rPr>
              <w:t>1 400</w:t>
            </w:r>
            <w:r w:rsidR="009D2C84" w:rsidRPr="005B3ABD">
              <w:t>/</w:t>
            </w:r>
            <w:r w:rsidRPr="005B3ABD">
              <w:t>tonne for pig carcasses of a standard quality defined in terms of weight and lean meat content as laid down in the Union scale for the classification of pig carcasses referred to in point B of Annex IV as follows: i) carcasses weighing from 60 to less than 120 kg: grade E; ii) carcasses weighing from 120 to 180 kg: grade R.</w:t>
            </w:r>
            <w:r w:rsidRPr="005B3ABD">
              <w:rPr>
                <w:b/>
                <w:i/>
              </w:rPr>
              <w:t xml:space="preserve"> ”</w:t>
            </w:r>
          </w:p>
        </w:tc>
      </w:tr>
    </w:tbl>
    <w:p w14:paraId="6549516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8C596E4" w14:textId="77777777" w:rsidR="003B40DD" w:rsidRPr="005B3ABD" w:rsidRDefault="003B40DD" w:rsidP="003B40DD">
      <w:pPr>
        <w:pStyle w:val="CrossRef"/>
      </w:pPr>
      <w:r w:rsidRPr="005B3ABD">
        <w:t>(https://eur-lex.europa.eu/legal-content/EN/TXT/?uri=CELEX:02013R1308-20180101)</w:t>
      </w:r>
    </w:p>
    <w:p w14:paraId="5F3A8FEE"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4B074E6" w14:textId="77777777" w:rsidR="003B40DD" w:rsidRPr="005B3ABD" w:rsidRDefault="003B40DD" w:rsidP="003B40DD">
      <w:pPr>
        <w:pStyle w:val="Normal12Italic"/>
      </w:pPr>
      <w:r w:rsidRPr="005B3ABD">
        <w:t>The intervention price for pigmeat was not adjusted downwards like other intervention prices since pigmeat is no longer affected by public intervention. To preserve the principle of a safety net that is below production costs, a slight downward adjustment of this threshold is proposed.</w:t>
      </w:r>
    </w:p>
    <w:p w14:paraId="60819AC8" w14:textId="77777777" w:rsidR="003B40DD" w:rsidRPr="005B3ABD" w:rsidRDefault="003B40DD" w:rsidP="003B40DD">
      <w:r w:rsidRPr="005B3ABD">
        <w:rPr>
          <w:rStyle w:val="HideTWBExt"/>
          <w:noProof w:val="0"/>
          <w:color w:val="auto"/>
        </w:rPr>
        <w:t>&lt;/Amend&gt;</w:t>
      </w:r>
    </w:p>
    <w:p w14:paraId="5ED8F21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w:t>
      </w:r>
      <w:r w:rsidRPr="005B3ABD">
        <w:rPr>
          <w:rStyle w:val="HideTWBExt"/>
          <w:b w:val="0"/>
          <w:noProof w:val="0"/>
          <w:color w:val="auto"/>
        </w:rPr>
        <w:t>&lt;/NumAm&gt;</w:t>
      </w:r>
    </w:p>
    <w:p w14:paraId="43CD767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C45851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b (new)</w:t>
      </w:r>
      <w:r w:rsidRPr="005B3ABD">
        <w:rPr>
          <w:rStyle w:val="HideTWBExt"/>
          <w:b w:val="0"/>
          <w:noProof w:val="0"/>
          <w:color w:val="auto"/>
        </w:rPr>
        <w:t>&lt;/Article&gt;</w:t>
      </w:r>
    </w:p>
    <w:p w14:paraId="520FE4D3"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6CA5D33" w14:textId="77777777" w:rsidR="003B40DD" w:rsidRPr="005B3ABD" w:rsidRDefault="003B40DD" w:rsidP="003B40DD">
      <w:r w:rsidRPr="005B3ABD">
        <w:rPr>
          <w:rStyle w:val="HideTWBExt"/>
          <w:noProof w:val="0"/>
          <w:color w:val="auto"/>
        </w:rPr>
        <w:t>&lt;Article2&gt;</w:t>
      </w:r>
      <w:r w:rsidRPr="005B3ABD">
        <w:t>Article 7 – paragraph 1 – point g a (new)</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C7BDF6C" w14:textId="77777777" w:rsidTr="00882D36">
        <w:trPr>
          <w:jc w:val="center"/>
        </w:trPr>
        <w:tc>
          <w:tcPr>
            <w:tcW w:w="9752" w:type="dxa"/>
            <w:gridSpan w:val="2"/>
          </w:tcPr>
          <w:p w14:paraId="5C66529B" w14:textId="77777777" w:rsidR="003B40DD" w:rsidRPr="005B3ABD" w:rsidRDefault="003B40DD" w:rsidP="00882D36">
            <w:pPr>
              <w:keepNext/>
            </w:pPr>
          </w:p>
        </w:tc>
      </w:tr>
      <w:tr w:rsidR="003B40DD" w:rsidRPr="005B3ABD" w14:paraId="038995CB" w14:textId="77777777" w:rsidTr="00882D36">
        <w:trPr>
          <w:jc w:val="center"/>
        </w:trPr>
        <w:tc>
          <w:tcPr>
            <w:tcW w:w="4876" w:type="dxa"/>
          </w:tcPr>
          <w:p w14:paraId="17370748" w14:textId="77777777" w:rsidR="003B40DD" w:rsidRPr="005B3ABD" w:rsidRDefault="003B40DD" w:rsidP="00882D36">
            <w:pPr>
              <w:pStyle w:val="ColumnHeading"/>
              <w:keepNext/>
              <w:rPr>
                <w:color w:val="0000FA"/>
              </w:rPr>
            </w:pPr>
            <w:r w:rsidRPr="005B3ABD">
              <w:t>Text proposed by the Commission</w:t>
            </w:r>
          </w:p>
        </w:tc>
        <w:tc>
          <w:tcPr>
            <w:tcW w:w="4876" w:type="dxa"/>
          </w:tcPr>
          <w:p w14:paraId="351F0EDA" w14:textId="77777777" w:rsidR="003B40DD" w:rsidRPr="005B3ABD" w:rsidRDefault="003B40DD" w:rsidP="00882D36">
            <w:pPr>
              <w:pStyle w:val="ColumnHeading"/>
              <w:keepNext/>
              <w:rPr>
                <w:color w:val="0000F5"/>
              </w:rPr>
            </w:pPr>
            <w:r w:rsidRPr="005B3ABD">
              <w:t>Amendment</w:t>
            </w:r>
          </w:p>
        </w:tc>
      </w:tr>
      <w:tr w:rsidR="003B40DD" w:rsidRPr="005B3ABD" w14:paraId="36895C95" w14:textId="77777777" w:rsidTr="00882D36">
        <w:trPr>
          <w:jc w:val="center"/>
        </w:trPr>
        <w:tc>
          <w:tcPr>
            <w:tcW w:w="4876" w:type="dxa"/>
          </w:tcPr>
          <w:p w14:paraId="504442FE" w14:textId="77777777" w:rsidR="003B40DD" w:rsidRPr="005B3ABD" w:rsidRDefault="003B40DD" w:rsidP="00882D36">
            <w:pPr>
              <w:pStyle w:val="Normal6"/>
              <w:rPr>
                <w:color w:val="0000FA"/>
              </w:rPr>
            </w:pPr>
          </w:p>
        </w:tc>
        <w:tc>
          <w:tcPr>
            <w:tcW w:w="4876" w:type="dxa"/>
          </w:tcPr>
          <w:p w14:paraId="65CAF798" w14:textId="77777777" w:rsidR="003B40DD" w:rsidRPr="005B3ABD" w:rsidRDefault="003B40DD" w:rsidP="00882D36">
            <w:pPr>
              <w:pStyle w:val="Normal6"/>
              <w:rPr>
                <w:color w:val="000005"/>
                <w:szCs w:val="24"/>
              </w:rPr>
            </w:pPr>
            <w:r w:rsidRPr="005B3ABD">
              <w:rPr>
                <w:b/>
                <w:i/>
              </w:rPr>
              <w:t>(3 b)</w:t>
            </w:r>
            <w:r w:rsidRPr="005B3ABD">
              <w:rPr>
                <w:b/>
                <w:i/>
              </w:rPr>
              <w:tab/>
              <w:t>In Article 7, paragraph 1 the following point is inserted:</w:t>
            </w:r>
          </w:p>
        </w:tc>
      </w:tr>
      <w:tr w:rsidR="003B40DD" w:rsidRPr="005B3ABD" w14:paraId="623AF150" w14:textId="77777777" w:rsidTr="00882D36">
        <w:trPr>
          <w:jc w:val="center"/>
        </w:trPr>
        <w:tc>
          <w:tcPr>
            <w:tcW w:w="4876" w:type="dxa"/>
          </w:tcPr>
          <w:p w14:paraId="4EB19C37" w14:textId="77777777" w:rsidR="003B40DD" w:rsidRPr="005B3ABD" w:rsidRDefault="003B40DD" w:rsidP="00882D36">
            <w:pPr>
              <w:pStyle w:val="Normal6"/>
              <w:rPr>
                <w:color w:val="0000FA"/>
              </w:rPr>
            </w:pPr>
          </w:p>
        </w:tc>
        <w:tc>
          <w:tcPr>
            <w:tcW w:w="4876" w:type="dxa"/>
          </w:tcPr>
          <w:p w14:paraId="0EC2CCE4" w14:textId="77777777" w:rsidR="003B40DD" w:rsidRPr="005B3ABD" w:rsidRDefault="003B40DD" w:rsidP="00882D36">
            <w:pPr>
              <w:pStyle w:val="Normal6"/>
              <w:rPr>
                <w:szCs w:val="24"/>
              </w:rPr>
            </w:pPr>
            <w:r w:rsidRPr="005B3ABD">
              <w:rPr>
                <w:b/>
                <w:i/>
              </w:rPr>
              <w:t>(g a) as regards lamb meat, EUR 4 500/tonne for lamb carcasses aged under 12 months.</w:t>
            </w:r>
          </w:p>
        </w:tc>
      </w:tr>
    </w:tbl>
    <w:p w14:paraId="0A486388"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61F073D"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3F6576CB" w14:textId="77777777" w:rsidR="003B40DD" w:rsidRPr="005B3ABD" w:rsidRDefault="003B40DD" w:rsidP="003B40DD">
      <w:pPr>
        <w:pStyle w:val="Normal12Italic"/>
      </w:pPr>
      <w:r w:rsidRPr="005B3ABD">
        <w:t>The intervention price level for lamb meat is determined so as to form a safety net in the event of a severe market crisis. It is below production costs and market prices over the past 5 years.</w:t>
      </w:r>
    </w:p>
    <w:p w14:paraId="328B1619" w14:textId="77777777" w:rsidR="003B40DD" w:rsidRPr="005B3ABD" w:rsidRDefault="003B40DD" w:rsidP="003B40DD">
      <w:r w:rsidRPr="005B3ABD">
        <w:rPr>
          <w:rStyle w:val="HideTWBExt"/>
          <w:noProof w:val="0"/>
          <w:color w:val="auto"/>
        </w:rPr>
        <w:t>&lt;/Amend&gt;</w:t>
      </w:r>
    </w:p>
    <w:p w14:paraId="025D937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w:t>
      </w:r>
      <w:r w:rsidRPr="005B3ABD">
        <w:rPr>
          <w:rStyle w:val="HideTWBExt"/>
          <w:b w:val="0"/>
          <w:noProof w:val="0"/>
          <w:color w:val="auto"/>
        </w:rPr>
        <w:t>&lt;/NumAm&gt;</w:t>
      </w:r>
    </w:p>
    <w:p w14:paraId="5AEF452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83BB10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c (new)</w:t>
      </w:r>
      <w:r w:rsidRPr="005B3ABD">
        <w:rPr>
          <w:rStyle w:val="HideTWBExt"/>
          <w:b w:val="0"/>
          <w:noProof w:val="0"/>
          <w:color w:val="auto"/>
        </w:rPr>
        <w:t>&lt;/Article&gt;</w:t>
      </w:r>
    </w:p>
    <w:p w14:paraId="1502055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993F197" w14:textId="77777777" w:rsidR="003B40DD" w:rsidRPr="005B3ABD" w:rsidRDefault="003B40DD" w:rsidP="003B40DD">
      <w:r w:rsidRPr="005B3ABD">
        <w:rPr>
          <w:rStyle w:val="HideTWBExt"/>
          <w:noProof w:val="0"/>
          <w:color w:val="auto"/>
        </w:rPr>
        <w:t>&lt;Article2&gt;</w:t>
      </w:r>
      <w:r w:rsidRPr="005B3ABD">
        <w:t>Article 7(2)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284EB2A" w14:textId="77777777" w:rsidTr="00882D36">
        <w:trPr>
          <w:jc w:val="center"/>
        </w:trPr>
        <w:tc>
          <w:tcPr>
            <w:tcW w:w="9752" w:type="dxa"/>
            <w:gridSpan w:val="2"/>
          </w:tcPr>
          <w:p w14:paraId="0BA7E18F" w14:textId="77777777" w:rsidR="003B40DD" w:rsidRPr="005B3ABD" w:rsidRDefault="003B40DD" w:rsidP="00882D36">
            <w:pPr>
              <w:keepNext/>
            </w:pPr>
          </w:p>
        </w:tc>
      </w:tr>
      <w:tr w:rsidR="003B40DD" w:rsidRPr="005B3ABD" w14:paraId="110EFE34" w14:textId="77777777" w:rsidTr="00882D36">
        <w:trPr>
          <w:jc w:val="center"/>
        </w:trPr>
        <w:tc>
          <w:tcPr>
            <w:tcW w:w="4876" w:type="dxa"/>
          </w:tcPr>
          <w:p w14:paraId="003E774A" w14:textId="77777777" w:rsidR="003B40DD" w:rsidRPr="005B3ABD" w:rsidRDefault="003B40DD" w:rsidP="00882D36">
            <w:pPr>
              <w:pStyle w:val="ColumnHeading"/>
              <w:keepNext/>
              <w:rPr>
                <w:color w:val="0000FA"/>
              </w:rPr>
            </w:pPr>
            <w:r w:rsidRPr="005B3ABD">
              <w:t>This text</w:t>
            </w:r>
          </w:p>
        </w:tc>
        <w:tc>
          <w:tcPr>
            <w:tcW w:w="4876" w:type="dxa"/>
          </w:tcPr>
          <w:p w14:paraId="7772FADE" w14:textId="77777777" w:rsidR="003B40DD" w:rsidRPr="005B3ABD" w:rsidRDefault="003B40DD" w:rsidP="00882D36">
            <w:pPr>
              <w:pStyle w:val="ColumnHeading"/>
              <w:keepNext/>
              <w:rPr>
                <w:color w:val="0000F5"/>
              </w:rPr>
            </w:pPr>
            <w:r w:rsidRPr="005B3ABD">
              <w:t>Amendment</w:t>
            </w:r>
          </w:p>
        </w:tc>
      </w:tr>
      <w:tr w:rsidR="003B40DD" w:rsidRPr="005B3ABD" w14:paraId="7ABD5627" w14:textId="77777777" w:rsidTr="00882D36">
        <w:trPr>
          <w:jc w:val="center"/>
        </w:trPr>
        <w:tc>
          <w:tcPr>
            <w:tcW w:w="4876" w:type="dxa"/>
          </w:tcPr>
          <w:p w14:paraId="073AD3CE" w14:textId="77777777" w:rsidR="003B40DD" w:rsidRPr="005B3ABD" w:rsidRDefault="003B40DD" w:rsidP="00882D36">
            <w:pPr>
              <w:pStyle w:val="Normal6"/>
              <w:rPr>
                <w:color w:val="0000FA"/>
              </w:rPr>
            </w:pPr>
          </w:p>
        </w:tc>
        <w:tc>
          <w:tcPr>
            <w:tcW w:w="4876" w:type="dxa"/>
          </w:tcPr>
          <w:p w14:paraId="76DC412D" w14:textId="77777777" w:rsidR="003B40DD" w:rsidRPr="005B3ABD" w:rsidRDefault="003B40DD" w:rsidP="00882D36">
            <w:pPr>
              <w:pStyle w:val="Normal6"/>
              <w:rPr>
                <w:color w:val="000005"/>
                <w:szCs w:val="24"/>
              </w:rPr>
            </w:pPr>
            <w:r w:rsidRPr="005B3ABD">
              <w:rPr>
                <w:b/>
                <w:i/>
              </w:rPr>
              <w:t>(3 c)</w:t>
            </w:r>
            <w:r w:rsidRPr="005B3ABD">
              <w:rPr>
                <w:b/>
                <w:i/>
              </w:rPr>
              <w:tab/>
              <w:t>Article 7(2) is replaced by:</w:t>
            </w:r>
          </w:p>
        </w:tc>
      </w:tr>
      <w:tr w:rsidR="003B40DD" w:rsidRPr="005B3ABD" w14:paraId="3D6FE884" w14:textId="77777777" w:rsidTr="00882D36">
        <w:trPr>
          <w:jc w:val="center"/>
        </w:trPr>
        <w:tc>
          <w:tcPr>
            <w:tcW w:w="4876" w:type="dxa"/>
          </w:tcPr>
          <w:p w14:paraId="4C9F0B48" w14:textId="77777777" w:rsidR="003B40DD" w:rsidRPr="005B3ABD" w:rsidRDefault="003B40DD" w:rsidP="00882D36">
            <w:pPr>
              <w:pStyle w:val="Normal6"/>
              <w:rPr>
                <w:color w:val="0000FA"/>
              </w:rPr>
            </w:pPr>
            <w:r w:rsidRPr="005B3ABD">
              <w:t xml:space="preserve">2. The reference thresholds provided for in paragraph 1 shall be kept under review by the Commission, taking account of objective criteria, notably developments in production, costs of production (particularly inputs), and market trends. </w:t>
            </w:r>
            <w:r w:rsidRPr="005B3ABD">
              <w:rPr>
                <w:b/>
                <w:bCs/>
                <w:i/>
                <w:iCs/>
              </w:rPr>
              <w:t>When necessary,</w:t>
            </w:r>
            <w:r w:rsidRPr="005B3ABD">
              <w:t xml:space="preserve"> the reference thresholds shall be updated </w:t>
            </w:r>
            <w:r w:rsidRPr="005B3ABD">
              <w:rPr>
                <w:b/>
                <w:bCs/>
                <w:i/>
                <w:iCs/>
              </w:rPr>
              <w:t>in accordance with the ordinary legislative procedure in the light of developments in production and markets</w:t>
            </w:r>
            <w:r w:rsidRPr="005B3ABD">
              <w:t>.</w:t>
            </w:r>
          </w:p>
        </w:tc>
        <w:tc>
          <w:tcPr>
            <w:tcW w:w="4876" w:type="dxa"/>
          </w:tcPr>
          <w:p w14:paraId="0C809F67" w14:textId="77777777" w:rsidR="003B40DD" w:rsidRPr="005B3ABD" w:rsidRDefault="003B40DD" w:rsidP="00882D36">
            <w:pPr>
              <w:pStyle w:val="Normal6"/>
              <w:rPr>
                <w:szCs w:val="24"/>
              </w:rPr>
            </w:pPr>
            <w:r w:rsidRPr="005B3ABD">
              <w:t xml:space="preserve">“2. The reference thresholds provided for in paragraph 1 shall be kept under review by the Commission, taking account of objective criteria, notably developments in production, costs of production (particularly inputs), and market trends. The reference thresholds shall be updated each year </w:t>
            </w:r>
            <w:r w:rsidRPr="005B3ABD">
              <w:rPr>
                <w:b/>
                <w:bCs/>
                <w:i/>
                <w:iCs/>
              </w:rPr>
              <w:t>to take account of inflation</w:t>
            </w:r>
            <w:r w:rsidRPr="005B3ABD">
              <w:t>.”</w:t>
            </w:r>
            <w:r w:rsidRPr="005B3ABD">
              <w:rPr>
                <w:b/>
                <w:i/>
              </w:rPr>
              <w:t xml:space="preserve"> </w:t>
            </w:r>
          </w:p>
        </w:tc>
      </w:tr>
    </w:tbl>
    <w:p w14:paraId="0937EF5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1E598D9" w14:textId="77777777" w:rsidR="003B40DD" w:rsidRPr="005B3ABD" w:rsidRDefault="003B40DD" w:rsidP="003B40DD">
      <w:pPr>
        <w:pStyle w:val="CrossRef"/>
      </w:pPr>
      <w:r w:rsidRPr="005B3ABD">
        <w:t>(https://eur-lex.europa.eu/legal-content/EN/TXT/?uri=CELEX:02013R1308-20180101)</w:t>
      </w:r>
    </w:p>
    <w:p w14:paraId="2025982C"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D4B9391" w14:textId="77777777" w:rsidR="003B40DD" w:rsidRPr="005B3ABD" w:rsidRDefault="003B40DD" w:rsidP="003B40DD">
      <w:pPr>
        <w:pStyle w:val="Normal12Italic"/>
      </w:pPr>
      <w:r w:rsidRPr="005B3ABD">
        <w:t>The reference thresholds were not adjusted since the time they were lowered until the mid 2000s. As they were set at a much lower level than the average production costs in Europe, their inflation indexing will therefore not create a self-sustaining inflationary effect but will make it possible to raise a safety net that is currently too low.</w:t>
      </w:r>
    </w:p>
    <w:p w14:paraId="37691BBC" w14:textId="77777777" w:rsidR="003B40DD" w:rsidRPr="005B3ABD" w:rsidRDefault="003B40DD" w:rsidP="003B40DD">
      <w:r w:rsidRPr="005B3ABD">
        <w:rPr>
          <w:rStyle w:val="HideTWBExt"/>
          <w:noProof w:val="0"/>
          <w:color w:val="auto"/>
        </w:rPr>
        <w:t>&lt;/Amend&gt;</w:t>
      </w:r>
    </w:p>
    <w:p w14:paraId="374C716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w:t>
      </w:r>
      <w:r w:rsidRPr="005B3ABD">
        <w:rPr>
          <w:rStyle w:val="HideTWBExt"/>
          <w:b w:val="0"/>
          <w:noProof w:val="0"/>
          <w:color w:val="auto"/>
        </w:rPr>
        <w:t>&lt;/NumAm&gt;</w:t>
      </w:r>
    </w:p>
    <w:p w14:paraId="0AA6B02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7C0325D"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d (new)</w:t>
      </w:r>
      <w:r w:rsidRPr="005B3ABD">
        <w:rPr>
          <w:rStyle w:val="HideTWBExt"/>
          <w:b w:val="0"/>
          <w:noProof w:val="0"/>
          <w:color w:val="auto"/>
        </w:rPr>
        <w:t>&lt;/Article&gt;</w:t>
      </w:r>
    </w:p>
    <w:p w14:paraId="6358F918"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6758E95B" w14:textId="77777777" w:rsidR="003B40DD" w:rsidRPr="005B3ABD" w:rsidRDefault="003B40DD" w:rsidP="003B40DD">
      <w:r w:rsidRPr="005B3ABD">
        <w:rPr>
          <w:rStyle w:val="HideTWBExt"/>
          <w:noProof w:val="0"/>
          <w:color w:val="auto"/>
        </w:rPr>
        <w:t>&lt;Article2&gt;</w:t>
      </w:r>
      <w:r w:rsidRPr="005B3ABD">
        <w:t>Article 11 – point e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2E1DC88" w14:textId="77777777" w:rsidTr="00882D36">
        <w:trPr>
          <w:jc w:val="center"/>
        </w:trPr>
        <w:tc>
          <w:tcPr>
            <w:tcW w:w="9752" w:type="dxa"/>
            <w:gridSpan w:val="2"/>
          </w:tcPr>
          <w:p w14:paraId="58FD2784" w14:textId="77777777" w:rsidR="003B40DD" w:rsidRPr="005B3ABD" w:rsidRDefault="003B40DD" w:rsidP="00882D36">
            <w:pPr>
              <w:keepNext/>
            </w:pPr>
          </w:p>
        </w:tc>
      </w:tr>
      <w:tr w:rsidR="003B40DD" w:rsidRPr="005B3ABD" w14:paraId="507FB526" w14:textId="77777777" w:rsidTr="00882D36">
        <w:trPr>
          <w:jc w:val="center"/>
        </w:trPr>
        <w:tc>
          <w:tcPr>
            <w:tcW w:w="4876" w:type="dxa"/>
          </w:tcPr>
          <w:p w14:paraId="2DD5FE43" w14:textId="77777777" w:rsidR="003B40DD" w:rsidRPr="005B3ABD" w:rsidRDefault="003B40DD" w:rsidP="00882D36">
            <w:pPr>
              <w:pStyle w:val="ColumnHeading"/>
              <w:keepNext/>
              <w:rPr>
                <w:color w:val="0000FA"/>
              </w:rPr>
            </w:pPr>
            <w:r w:rsidRPr="005B3ABD">
              <w:t>Text proposed by the Commission</w:t>
            </w:r>
          </w:p>
        </w:tc>
        <w:tc>
          <w:tcPr>
            <w:tcW w:w="4876" w:type="dxa"/>
          </w:tcPr>
          <w:p w14:paraId="0588144E" w14:textId="77777777" w:rsidR="003B40DD" w:rsidRPr="005B3ABD" w:rsidRDefault="003B40DD" w:rsidP="00882D36">
            <w:pPr>
              <w:pStyle w:val="ColumnHeading"/>
              <w:keepNext/>
              <w:rPr>
                <w:color w:val="0000F5"/>
              </w:rPr>
            </w:pPr>
            <w:r w:rsidRPr="005B3ABD">
              <w:t>Amendment</w:t>
            </w:r>
          </w:p>
        </w:tc>
      </w:tr>
      <w:tr w:rsidR="003B40DD" w:rsidRPr="005B3ABD" w14:paraId="7F45C6C0" w14:textId="77777777" w:rsidTr="00882D36">
        <w:trPr>
          <w:jc w:val="center"/>
        </w:trPr>
        <w:tc>
          <w:tcPr>
            <w:tcW w:w="4876" w:type="dxa"/>
          </w:tcPr>
          <w:p w14:paraId="4E555137" w14:textId="77777777" w:rsidR="003B40DD" w:rsidRPr="005B3ABD" w:rsidRDefault="003B40DD" w:rsidP="00882D36">
            <w:pPr>
              <w:pStyle w:val="Normal6"/>
              <w:rPr>
                <w:color w:val="0000FA"/>
              </w:rPr>
            </w:pPr>
          </w:p>
        </w:tc>
        <w:tc>
          <w:tcPr>
            <w:tcW w:w="4876" w:type="dxa"/>
          </w:tcPr>
          <w:p w14:paraId="3A197FBA" w14:textId="77777777" w:rsidR="003B40DD" w:rsidRPr="005B3ABD" w:rsidRDefault="003B40DD" w:rsidP="00882D36">
            <w:pPr>
              <w:pStyle w:val="Normal6"/>
              <w:rPr>
                <w:color w:val="000005"/>
                <w:szCs w:val="24"/>
              </w:rPr>
            </w:pPr>
            <w:r w:rsidRPr="005B3ABD">
              <w:rPr>
                <w:b/>
                <w:i/>
              </w:rPr>
              <w:t>(3 d)</w:t>
            </w:r>
            <w:r w:rsidRPr="005B3ABD">
              <w:rPr>
                <w:b/>
                <w:i/>
              </w:rPr>
              <w:tab/>
              <w:t>In Article 11, the following point is added:</w:t>
            </w:r>
          </w:p>
        </w:tc>
      </w:tr>
      <w:tr w:rsidR="003B40DD" w:rsidRPr="005B3ABD" w14:paraId="4423E6EC" w14:textId="77777777" w:rsidTr="00882D36">
        <w:trPr>
          <w:jc w:val="center"/>
        </w:trPr>
        <w:tc>
          <w:tcPr>
            <w:tcW w:w="4876" w:type="dxa"/>
          </w:tcPr>
          <w:p w14:paraId="32E6BF31" w14:textId="77777777" w:rsidR="003B40DD" w:rsidRPr="005B3ABD" w:rsidRDefault="003B40DD" w:rsidP="00882D36">
            <w:pPr>
              <w:pStyle w:val="Normal6"/>
              <w:rPr>
                <w:color w:val="0000FA"/>
              </w:rPr>
            </w:pPr>
          </w:p>
        </w:tc>
        <w:tc>
          <w:tcPr>
            <w:tcW w:w="4876" w:type="dxa"/>
          </w:tcPr>
          <w:p w14:paraId="594195FD" w14:textId="77777777" w:rsidR="003B40DD" w:rsidRPr="005B3ABD" w:rsidRDefault="003B40DD" w:rsidP="00882D36">
            <w:pPr>
              <w:pStyle w:val="Normal6"/>
              <w:rPr>
                <w:szCs w:val="24"/>
              </w:rPr>
            </w:pPr>
            <w:r w:rsidRPr="005B3ABD">
              <w:rPr>
                <w:b/>
                <w:i/>
              </w:rPr>
              <w:t>(e a) white sugar;</w:t>
            </w:r>
          </w:p>
        </w:tc>
      </w:tr>
    </w:tbl>
    <w:p w14:paraId="305EC7A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F1EE674"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F7BC93C" w14:textId="77777777" w:rsidR="003B40DD" w:rsidRPr="005B3ABD" w:rsidRDefault="003B40DD" w:rsidP="003B40DD">
      <w:pPr>
        <w:pStyle w:val="Normal12Italic"/>
      </w:pPr>
      <w:r w:rsidRPr="005B3ABD">
        <w:t>For the sheep and pig sectors, there are considerable risks of market disturbances considering the Brexit situation and health situation (swine fever).  For its part, the sugar market situation is worrying. These three sectors feature among those that can benefit from private storage; it is proposed to add them to the list of products that may benefit from public intervention.</w:t>
      </w:r>
    </w:p>
    <w:p w14:paraId="6AE3B525" w14:textId="77777777" w:rsidR="003B40DD" w:rsidRPr="005B3ABD" w:rsidRDefault="003B40DD" w:rsidP="003B40DD">
      <w:r w:rsidRPr="005B3ABD">
        <w:rPr>
          <w:rStyle w:val="HideTWBExt"/>
          <w:noProof w:val="0"/>
          <w:color w:val="auto"/>
        </w:rPr>
        <w:t>&lt;/Amend&gt;</w:t>
      </w:r>
    </w:p>
    <w:p w14:paraId="0DF7C28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11</w:t>
      </w:r>
      <w:r w:rsidRPr="005B3ABD">
        <w:rPr>
          <w:rStyle w:val="HideTWBExt"/>
          <w:b w:val="0"/>
          <w:noProof w:val="0"/>
          <w:color w:val="auto"/>
        </w:rPr>
        <w:t>&lt;/NumAm&gt;</w:t>
      </w:r>
    </w:p>
    <w:p w14:paraId="74EFA05E"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7E82DBC"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e (new)</w:t>
      </w:r>
      <w:r w:rsidRPr="005B3ABD">
        <w:rPr>
          <w:rStyle w:val="HideTWBExt"/>
          <w:b w:val="0"/>
          <w:noProof w:val="0"/>
          <w:color w:val="auto"/>
        </w:rPr>
        <w:t>&lt;/Article&gt;</w:t>
      </w:r>
    </w:p>
    <w:p w14:paraId="112F5B3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60CC1A1C" w14:textId="77777777" w:rsidR="003B40DD" w:rsidRPr="005B3ABD" w:rsidRDefault="003B40DD" w:rsidP="003B40DD">
      <w:r w:rsidRPr="005B3ABD">
        <w:rPr>
          <w:rStyle w:val="HideTWBExt"/>
          <w:noProof w:val="0"/>
          <w:color w:val="auto"/>
        </w:rPr>
        <w:t>&lt;Article2&gt;</w:t>
      </w:r>
      <w:r w:rsidRPr="005B3ABD">
        <w:t>Article 11 – point e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0C624BE" w14:textId="77777777" w:rsidTr="00882D36">
        <w:trPr>
          <w:jc w:val="center"/>
        </w:trPr>
        <w:tc>
          <w:tcPr>
            <w:tcW w:w="9752" w:type="dxa"/>
            <w:gridSpan w:val="2"/>
          </w:tcPr>
          <w:p w14:paraId="1112940B" w14:textId="77777777" w:rsidR="003B40DD" w:rsidRPr="005B3ABD" w:rsidRDefault="003B40DD" w:rsidP="00882D36">
            <w:pPr>
              <w:keepNext/>
            </w:pPr>
          </w:p>
        </w:tc>
      </w:tr>
      <w:tr w:rsidR="003B40DD" w:rsidRPr="005B3ABD" w14:paraId="27B7BAA2" w14:textId="77777777" w:rsidTr="00882D36">
        <w:trPr>
          <w:jc w:val="center"/>
        </w:trPr>
        <w:tc>
          <w:tcPr>
            <w:tcW w:w="4876" w:type="dxa"/>
          </w:tcPr>
          <w:p w14:paraId="1C7C5016" w14:textId="77777777" w:rsidR="003B40DD" w:rsidRPr="005B3ABD" w:rsidRDefault="003B40DD" w:rsidP="00882D36">
            <w:pPr>
              <w:pStyle w:val="ColumnHeading"/>
              <w:keepNext/>
              <w:rPr>
                <w:color w:val="0000FA"/>
              </w:rPr>
            </w:pPr>
            <w:r w:rsidRPr="005B3ABD">
              <w:t>Text proposed by the Commission</w:t>
            </w:r>
          </w:p>
        </w:tc>
        <w:tc>
          <w:tcPr>
            <w:tcW w:w="4876" w:type="dxa"/>
          </w:tcPr>
          <w:p w14:paraId="68192545" w14:textId="77777777" w:rsidR="003B40DD" w:rsidRPr="005B3ABD" w:rsidRDefault="003B40DD" w:rsidP="00882D36">
            <w:pPr>
              <w:pStyle w:val="ColumnHeading"/>
              <w:keepNext/>
              <w:rPr>
                <w:color w:val="0000F5"/>
              </w:rPr>
            </w:pPr>
            <w:r w:rsidRPr="005B3ABD">
              <w:t>Amendment</w:t>
            </w:r>
          </w:p>
        </w:tc>
      </w:tr>
      <w:tr w:rsidR="003B40DD" w:rsidRPr="005B3ABD" w14:paraId="25D8080C" w14:textId="77777777" w:rsidTr="00882D36">
        <w:trPr>
          <w:jc w:val="center"/>
        </w:trPr>
        <w:tc>
          <w:tcPr>
            <w:tcW w:w="4876" w:type="dxa"/>
          </w:tcPr>
          <w:p w14:paraId="4E7FA846" w14:textId="77777777" w:rsidR="003B40DD" w:rsidRPr="005B3ABD" w:rsidRDefault="003B40DD" w:rsidP="00882D36">
            <w:pPr>
              <w:pStyle w:val="Normal6"/>
              <w:rPr>
                <w:color w:val="0000FA"/>
              </w:rPr>
            </w:pPr>
          </w:p>
        </w:tc>
        <w:tc>
          <w:tcPr>
            <w:tcW w:w="4876" w:type="dxa"/>
          </w:tcPr>
          <w:p w14:paraId="126773F4" w14:textId="77777777" w:rsidR="003B40DD" w:rsidRPr="005B3ABD" w:rsidRDefault="003B40DD" w:rsidP="00882D36">
            <w:pPr>
              <w:pStyle w:val="Normal6"/>
              <w:rPr>
                <w:color w:val="000005"/>
                <w:szCs w:val="24"/>
              </w:rPr>
            </w:pPr>
            <w:r w:rsidRPr="005B3ABD">
              <w:rPr>
                <w:b/>
                <w:i/>
              </w:rPr>
              <w:t>(3 e)</w:t>
            </w:r>
            <w:r w:rsidRPr="005B3ABD">
              <w:rPr>
                <w:b/>
                <w:i/>
              </w:rPr>
              <w:tab/>
              <w:t>In Article 11, the following point is added:</w:t>
            </w:r>
          </w:p>
        </w:tc>
      </w:tr>
      <w:tr w:rsidR="003B40DD" w:rsidRPr="005B3ABD" w14:paraId="66960ADF" w14:textId="77777777" w:rsidTr="00882D36">
        <w:trPr>
          <w:jc w:val="center"/>
        </w:trPr>
        <w:tc>
          <w:tcPr>
            <w:tcW w:w="4876" w:type="dxa"/>
          </w:tcPr>
          <w:p w14:paraId="6BB974DF" w14:textId="77777777" w:rsidR="003B40DD" w:rsidRPr="005B3ABD" w:rsidRDefault="003B40DD" w:rsidP="00882D36">
            <w:pPr>
              <w:pStyle w:val="Normal6"/>
              <w:rPr>
                <w:color w:val="0000FA"/>
              </w:rPr>
            </w:pPr>
          </w:p>
        </w:tc>
        <w:tc>
          <w:tcPr>
            <w:tcW w:w="4876" w:type="dxa"/>
          </w:tcPr>
          <w:p w14:paraId="44C577E9" w14:textId="77777777" w:rsidR="003B40DD" w:rsidRPr="005B3ABD" w:rsidRDefault="003B40DD" w:rsidP="00882D36">
            <w:pPr>
              <w:pStyle w:val="Normal6"/>
              <w:rPr>
                <w:szCs w:val="24"/>
              </w:rPr>
            </w:pPr>
            <w:r w:rsidRPr="005B3ABD">
              <w:rPr>
                <w:b/>
                <w:i/>
              </w:rPr>
              <w:t>(e b) meat of sheep, fresh, chilled or frozen, falling within CN code 0204;</w:t>
            </w:r>
          </w:p>
        </w:tc>
      </w:tr>
    </w:tbl>
    <w:p w14:paraId="252BF610"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28B909E" w14:textId="77777777" w:rsidR="003B40DD" w:rsidRPr="005B3ABD" w:rsidRDefault="003B40DD" w:rsidP="003B40DD">
      <w:r w:rsidRPr="005B3ABD">
        <w:rPr>
          <w:rStyle w:val="HideTWBExt"/>
          <w:noProof w:val="0"/>
          <w:color w:val="auto"/>
        </w:rPr>
        <w:t>&lt;/Amend&gt;</w:t>
      </w:r>
    </w:p>
    <w:p w14:paraId="7AB2A81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12</w:t>
      </w:r>
      <w:r w:rsidRPr="005B3ABD">
        <w:rPr>
          <w:rStyle w:val="HideTWBExt"/>
          <w:b w:val="0"/>
          <w:noProof w:val="0"/>
          <w:color w:val="auto"/>
        </w:rPr>
        <w:t>&lt;/NumAm&gt;</w:t>
      </w:r>
    </w:p>
    <w:p w14:paraId="32E857AC"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678342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f (new)</w:t>
      </w:r>
      <w:r w:rsidRPr="005B3ABD">
        <w:rPr>
          <w:rStyle w:val="HideTWBExt"/>
          <w:b w:val="0"/>
          <w:noProof w:val="0"/>
          <w:color w:val="auto"/>
        </w:rPr>
        <w:t>&lt;/Article&gt;</w:t>
      </w:r>
    </w:p>
    <w:p w14:paraId="1C74BD3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58CB28A" w14:textId="77777777" w:rsidR="003B40DD" w:rsidRPr="005B3ABD" w:rsidRDefault="003B40DD" w:rsidP="003B40DD">
      <w:r w:rsidRPr="005B3ABD">
        <w:rPr>
          <w:rStyle w:val="HideTWBExt"/>
          <w:noProof w:val="0"/>
          <w:color w:val="auto"/>
        </w:rPr>
        <w:t>&lt;Article2&gt;</w:t>
      </w:r>
      <w:r w:rsidRPr="005B3ABD">
        <w:t>Article 11 – point e c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7EA5F09" w14:textId="77777777" w:rsidTr="00882D36">
        <w:trPr>
          <w:jc w:val="center"/>
        </w:trPr>
        <w:tc>
          <w:tcPr>
            <w:tcW w:w="9752" w:type="dxa"/>
            <w:gridSpan w:val="2"/>
          </w:tcPr>
          <w:p w14:paraId="41AA28C2" w14:textId="77777777" w:rsidR="003B40DD" w:rsidRPr="005B3ABD" w:rsidRDefault="003B40DD" w:rsidP="00882D36">
            <w:pPr>
              <w:keepNext/>
            </w:pPr>
          </w:p>
        </w:tc>
      </w:tr>
      <w:tr w:rsidR="003B40DD" w:rsidRPr="005B3ABD" w14:paraId="1ABACF99" w14:textId="77777777" w:rsidTr="00882D36">
        <w:trPr>
          <w:jc w:val="center"/>
        </w:trPr>
        <w:tc>
          <w:tcPr>
            <w:tcW w:w="4876" w:type="dxa"/>
          </w:tcPr>
          <w:p w14:paraId="354CBDD4" w14:textId="77777777" w:rsidR="003B40DD" w:rsidRPr="005B3ABD" w:rsidRDefault="003B40DD" w:rsidP="00882D36">
            <w:pPr>
              <w:pStyle w:val="ColumnHeading"/>
              <w:keepNext/>
              <w:rPr>
                <w:color w:val="0000FA"/>
              </w:rPr>
            </w:pPr>
            <w:r w:rsidRPr="005B3ABD">
              <w:t>Text proposed by the Commission</w:t>
            </w:r>
          </w:p>
        </w:tc>
        <w:tc>
          <w:tcPr>
            <w:tcW w:w="4876" w:type="dxa"/>
          </w:tcPr>
          <w:p w14:paraId="5C1B3486" w14:textId="77777777" w:rsidR="003B40DD" w:rsidRPr="005B3ABD" w:rsidRDefault="003B40DD" w:rsidP="00882D36">
            <w:pPr>
              <w:pStyle w:val="ColumnHeading"/>
              <w:keepNext/>
              <w:rPr>
                <w:color w:val="0000F5"/>
              </w:rPr>
            </w:pPr>
            <w:r w:rsidRPr="005B3ABD">
              <w:t>Amendment</w:t>
            </w:r>
          </w:p>
        </w:tc>
      </w:tr>
      <w:tr w:rsidR="003B40DD" w:rsidRPr="005B3ABD" w14:paraId="0F4A084B" w14:textId="77777777" w:rsidTr="00882D36">
        <w:trPr>
          <w:jc w:val="center"/>
        </w:trPr>
        <w:tc>
          <w:tcPr>
            <w:tcW w:w="4876" w:type="dxa"/>
          </w:tcPr>
          <w:p w14:paraId="0BBAEF09" w14:textId="77777777" w:rsidR="003B40DD" w:rsidRPr="005B3ABD" w:rsidRDefault="003B40DD" w:rsidP="00882D36">
            <w:pPr>
              <w:pStyle w:val="Normal6"/>
              <w:rPr>
                <w:color w:val="0000FA"/>
              </w:rPr>
            </w:pPr>
          </w:p>
        </w:tc>
        <w:tc>
          <w:tcPr>
            <w:tcW w:w="4876" w:type="dxa"/>
          </w:tcPr>
          <w:p w14:paraId="1D70E691" w14:textId="77777777" w:rsidR="003B40DD" w:rsidRPr="005B3ABD" w:rsidRDefault="003B40DD" w:rsidP="00882D36">
            <w:pPr>
              <w:pStyle w:val="Normal6"/>
              <w:rPr>
                <w:color w:val="000005"/>
                <w:szCs w:val="24"/>
              </w:rPr>
            </w:pPr>
            <w:r w:rsidRPr="005B3ABD">
              <w:rPr>
                <w:b/>
                <w:i/>
              </w:rPr>
              <w:t>(3 f)</w:t>
            </w:r>
            <w:r w:rsidRPr="005B3ABD">
              <w:rPr>
                <w:b/>
                <w:i/>
              </w:rPr>
              <w:tab/>
              <w:t>In Article 11, the following point is added:</w:t>
            </w:r>
          </w:p>
        </w:tc>
      </w:tr>
      <w:tr w:rsidR="003B40DD" w:rsidRPr="005B3ABD" w14:paraId="2E0D6136" w14:textId="77777777" w:rsidTr="00882D36">
        <w:trPr>
          <w:jc w:val="center"/>
        </w:trPr>
        <w:tc>
          <w:tcPr>
            <w:tcW w:w="4876" w:type="dxa"/>
          </w:tcPr>
          <w:p w14:paraId="262CE0E4" w14:textId="77777777" w:rsidR="003B40DD" w:rsidRPr="005B3ABD" w:rsidRDefault="003B40DD" w:rsidP="00882D36">
            <w:pPr>
              <w:pStyle w:val="Normal6"/>
              <w:rPr>
                <w:color w:val="0000FA"/>
              </w:rPr>
            </w:pPr>
          </w:p>
        </w:tc>
        <w:tc>
          <w:tcPr>
            <w:tcW w:w="4876" w:type="dxa"/>
          </w:tcPr>
          <w:p w14:paraId="22BC54C9" w14:textId="77777777" w:rsidR="003B40DD" w:rsidRPr="005B3ABD" w:rsidRDefault="003B40DD" w:rsidP="00882D36">
            <w:pPr>
              <w:pStyle w:val="Normal6"/>
              <w:rPr>
                <w:szCs w:val="24"/>
              </w:rPr>
            </w:pPr>
            <w:r w:rsidRPr="005B3ABD">
              <w:rPr>
                <w:b/>
                <w:i/>
              </w:rPr>
              <w:t>(e c) meat of swine, fresh, chilled or frozen, falling within CN code ex 203;</w:t>
            </w:r>
          </w:p>
        </w:tc>
      </w:tr>
    </w:tbl>
    <w:p w14:paraId="52572550"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43F5FF3" w14:textId="77777777" w:rsidR="003B40DD" w:rsidRPr="005B3ABD" w:rsidRDefault="003B40DD" w:rsidP="003B40DD">
      <w:r w:rsidRPr="005B3ABD">
        <w:rPr>
          <w:rStyle w:val="HideTWBExt"/>
          <w:noProof w:val="0"/>
          <w:color w:val="auto"/>
        </w:rPr>
        <w:t>&lt;/Amend&gt;</w:t>
      </w:r>
    </w:p>
    <w:p w14:paraId="4C388316"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13</w:t>
      </w:r>
      <w:r w:rsidRPr="005B3ABD">
        <w:rPr>
          <w:rStyle w:val="HideTWBExt"/>
          <w:b w:val="0"/>
          <w:noProof w:val="0"/>
          <w:color w:val="auto"/>
        </w:rPr>
        <w:t>&lt;/NumAm&gt;</w:t>
      </w:r>
    </w:p>
    <w:p w14:paraId="2F09B617"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29B54B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g (new)</w:t>
      </w:r>
      <w:r w:rsidRPr="005B3ABD">
        <w:rPr>
          <w:rStyle w:val="HideTWBExt"/>
          <w:b w:val="0"/>
          <w:noProof w:val="0"/>
          <w:color w:val="auto"/>
        </w:rPr>
        <w:t>&lt;/Article&gt;</w:t>
      </w:r>
    </w:p>
    <w:p w14:paraId="3C0CD6F4"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39F2183" w14:textId="77777777" w:rsidR="003B40DD" w:rsidRPr="005B3ABD" w:rsidRDefault="003B40DD" w:rsidP="003B40DD">
      <w:r w:rsidRPr="005B3ABD">
        <w:rPr>
          <w:rStyle w:val="HideTWBExt"/>
          <w:noProof w:val="0"/>
          <w:color w:val="auto"/>
        </w:rPr>
        <w:t>&lt;Article2&gt;</w:t>
      </w:r>
      <w:r w:rsidRPr="005B3ABD">
        <w:t>Article 12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9DEAC9F" w14:textId="77777777" w:rsidTr="00882D36">
        <w:trPr>
          <w:jc w:val="center"/>
        </w:trPr>
        <w:tc>
          <w:tcPr>
            <w:tcW w:w="9752" w:type="dxa"/>
            <w:gridSpan w:val="2"/>
          </w:tcPr>
          <w:p w14:paraId="1AD57463" w14:textId="77777777" w:rsidR="003B40DD" w:rsidRPr="005B3ABD" w:rsidRDefault="003B40DD" w:rsidP="00882D36">
            <w:pPr>
              <w:keepNext/>
            </w:pPr>
          </w:p>
        </w:tc>
      </w:tr>
      <w:tr w:rsidR="003B40DD" w:rsidRPr="005B3ABD" w14:paraId="1AE27494" w14:textId="77777777" w:rsidTr="00882D36">
        <w:trPr>
          <w:jc w:val="center"/>
        </w:trPr>
        <w:tc>
          <w:tcPr>
            <w:tcW w:w="4876" w:type="dxa"/>
          </w:tcPr>
          <w:p w14:paraId="3E90FB25" w14:textId="77777777" w:rsidR="003B40DD" w:rsidRPr="005B3ABD" w:rsidRDefault="003B40DD" w:rsidP="00882D36">
            <w:pPr>
              <w:pStyle w:val="ColumnHeading"/>
              <w:keepNext/>
              <w:rPr>
                <w:color w:val="0000FA"/>
              </w:rPr>
            </w:pPr>
            <w:r w:rsidRPr="005B3ABD">
              <w:t>This text</w:t>
            </w:r>
          </w:p>
        </w:tc>
        <w:tc>
          <w:tcPr>
            <w:tcW w:w="4876" w:type="dxa"/>
          </w:tcPr>
          <w:p w14:paraId="5AFF9ACC" w14:textId="77777777" w:rsidR="003B40DD" w:rsidRPr="005B3ABD" w:rsidRDefault="003B40DD" w:rsidP="00882D36">
            <w:pPr>
              <w:pStyle w:val="ColumnHeading"/>
              <w:keepNext/>
              <w:rPr>
                <w:color w:val="0000F5"/>
              </w:rPr>
            </w:pPr>
            <w:r w:rsidRPr="005B3ABD">
              <w:t>Amendment</w:t>
            </w:r>
          </w:p>
        </w:tc>
      </w:tr>
      <w:tr w:rsidR="003B40DD" w:rsidRPr="005B3ABD" w14:paraId="6D4E86A7" w14:textId="77777777" w:rsidTr="00882D36">
        <w:trPr>
          <w:jc w:val="center"/>
        </w:trPr>
        <w:tc>
          <w:tcPr>
            <w:tcW w:w="4876" w:type="dxa"/>
          </w:tcPr>
          <w:p w14:paraId="7C9F1DE4" w14:textId="77777777" w:rsidR="003B40DD" w:rsidRPr="005B3ABD" w:rsidRDefault="003B40DD" w:rsidP="00882D36">
            <w:pPr>
              <w:pStyle w:val="Normal6"/>
              <w:rPr>
                <w:color w:val="0000FA"/>
              </w:rPr>
            </w:pPr>
          </w:p>
        </w:tc>
        <w:tc>
          <w:tcPr>
            <w:tcW w:w="4876" w:type="dxa"/>
          </w:tcPr>
          <w:p w14:paraId="7F4AA2A5" w14:textId="77777777" w:rsidR="003B40DD" w:rsidRPr="005B3ABD" w:rsidRDefault="003B40DD" w:rsidP="00882D36">
            <w:pPr>
              <w:pStyle w:val="Normal6"/>
              <w:rPr>
                <w:color w:val="000005"/>
                <w:szCs w:val="24"/>
              </w:rPr>
            </w:pPr>
            <w:r w:rsidRPr="005B3ABD">
              <w:rPr>
                <w:b/>
                <w:i/>
              </w:rPr>
              <w:t>(3 g)</w:t>
            </w:r>
            <w:r w:rsidRPr="005B3ABD">
              <w:rPr>
                <w:b/>
                <w:i/>
              </w:rPr>
              <w:tab/>
              <w:t>Article 12 is replaced by the following:</w:t>
            </w:r>
          </w:p>
        </w:tc>
      </w:tr>
      <w:tr w:rsidR="003B40DD" w:rsidRPr="005B3ABD" w14:paraId="4F92EDA9" w14:textId="77777777" w:rsidTr="00882D36">
        <w:trPr>
          <w:jc w:val="center"/>
        </w:trPr>
        <w:tc>
          <w:tcPr>
            <w:tcW w:w="4876" w:type="dxa"/>
          </w:tcPr>
          <w:p w14:paraId="7890B877" w14:textId="77777777" w:rsidR="003B40DD" w:rsidRPr="005B3ABD" w:rsidRDefault="003B40DD" w:rsidP="00882D36">
            <w:pPr>
              <w:pStyle w:val="Normal6"/>
              <w:jc w:val="center"/>
              <w:rPr>
                <w:color w:val="0000FA"/>
              </w:rPr>
            </w:pPr>
            <w:r w:rsidRPr="005B3ABD">
              <w:t>Article 12</w:t>
            </w:r>
          </w:p>
        </w:tc>
        <w:tc>
          <w:tcPr>
            <w:tcW w:w="4876" w:type="dxa"/>
          </w:tcPr>
          <w:p w14:paraId="63019A8D" w14:textId="77777777" w:rsidR="003B40DD" w:rsidRPr="005B3ABD" w:rsidRDefault="003B40DD" w:rsidP="00882D36">
            <w:pPr>
              <w:pStyle w:val="Normal6"/>
              <w:jc w:val="center"/>
              <w:rPr>
                <w:color w:val="000005"/>
              </w:rPr>
            </w:pPr>
            <w:r w:rsidRPr="005B3ABD">
              <w:t>“Article 12</w:t>
            </w:r>
          </w:p>
        </w:tc>
      </w:tr>
      <w:tr w:rsidR="003B40DD" w:rsidRPr="005B3ABD" w14:paraId="6BD2DE88" w14:textId="77777777" w:rsidTr="00882D36">
        <w:trPr>
          <w:jc w:val="center"/>
        </w:trPr>
        <w:tc>
          <w:tcPr>
            <w:tcW w:w="4876" w:type="dxa"/>
          </w:tcPr>
          <w:p w14:paraId="52B44F73" w14:textId="77777777" w:rsidR="003B40DD" w:rsidRPr="005B3ABD" w:rsidRDefault="003B40DD" w:rsidP="00882D36">
            <w:pPr>
              <w:pStyle w:val="Normal6"/>
              <w:jc w:val="center"/>
              <w:rPr>
                <w:color w:val="0000FA"/>
              </w:rPr>
            </w:pPr>
            <w:r w:rsidRPr="005B3ABD">
              <w:t>Public intervention periods</w:t>
            </w:r>
          </w:p>
        </w:tc>
        <w:tc>
          <w:tcPr>
            <w:tcW w:w="4876" w:type="dxa"/>
          </w:tcPr>
          <w:p w14:paraId="6A58CD8F" w14:textId="77777777" w:rsidR="003B40DD" w:rsidRPr="005B3ABD" w:rsidRDefault="003B40DD" w:rsidP="00882D36">
            <w:pPr>
              <w:pStyle w:val="Normal6"/>
              <w:jc w:val="center"/>
              <w:rPr>
                <w:b/>
                <w:i/>
                <w:color w:val="000005"/>
              </w:rPr>
            </w:pPr>
            <w:r w:rsidRPr="005B3ABD">
              <w:t>Public intervention periods</w:t>
            </w:r>
          </w:p>
        </w:tc>
      </w:tr>
      <w:tr w:rsidR="003B40DD" w:rsidRPr="005B3ABD" w14:paraId="13C20FEB" w14:textId="77777777" w:rsidTr="00882D36">
        <w:trPr>
          <w:jc w:val="center"/>
        </w:trPr>
        <w:tc>
          <w:tcPr>
            <w:tcW w:w="4876" w:type="dxa"/>
          </w:tcPr>
          <w:p w14:paraId="13B003B7" w14:textId="77777777" w:rsidR="003B40DD" w:rsidRPr="005B3ABD" w:rsidRDefault="003B40DD" w:rsidP="00882D36">
            <w:pPr>
              <w:pStyle w:val="Normal6"/>
              <w:rPr>
                <w:color w:val="0000FA"/>
              </w:rPr>
            </w:pPr>
            <w:r w:rsidRPr="005B3ABD">
              <w:t>Public intervention shall be available for:</w:t>
            </w:r>
          </w:p>
        </w:tc>
        <w:tc>
          <w:tcPr>
            <w:tcW w:w="4876" w:type="dxa"/>
          </w:tcPr>
          <w:p w14:paraId="628B4424" w14:textId="77777777" w:rsidR="003B40DD" w:rsidRPr="005B3ABD" w:rsidRDefault="003B40DD" w:rsidP="00882D36">
            <w:pPr>
              <w:pStyle w:val="Normal6"/>
              <w:rPr>
                <w:color w:val="000005"/>
                <w:szCs w:val="24"/>
              </w:rPr>
            </w:pPr>
            <w:r w:rsidRPr="005B3ABD">
              <w:t>Public intervention shall be available for:</w:t>
            </w:r>
          </w:p>
        </w:tc>
      </w:tr>
      <w:tr w:rsidR="003B40DD" w:rsidRPr="005B3ABD" w14:paraId="76CCD0A8" w14:textId="77777777" w:rsidTr="00882D36">
        <w:trPr>
          <w:jc w:val="center"/>
        </w:trPr>
        <w:tc>
          <w:tcPr>
            <w:tcW w:w="4876" w:type="dxa"/>
          </w:tcPr>
          <w:p w14:paraId="16E960FF" w14:textId="77777777" w:rsidR="003B40DD" w:rsidRPr="005B3ABD" w:rsidRDefault="003B40DD" w:rsidP="00882D36">
            <w:pPr>
              <w:pStyle w:val="Normal6"/>
              <w:rPr>
                <w:color w:val="0000FA"/>
              </w:rPr>
            </w:pPr>
            <w:r w:rsidRPr="005B3ABD">
              <w:t xml:space="preserve">(a) common wheat, durum wheat, barley and maize, </w:t>
            </w:r>
            <w:r w:rsidRPr="005B3ABD">
              <w:rPr>
                <w:b/>
                <w:bCs/>
                <w:i/>
                <w:iCs/>
              </w:rPr>
              <w:t>from 1 November to 31 May</w:t>
            </w:r>
            <w:r w:rsidRPr="005B3ABD">
              <w:t>;</w:t>
            </w:r>
          </w:p>
        </w:tc>
        <w:tc>
          <w:tcPr>
            <w:tcW w:w="4876" w:type="dxa"/>
          </w:tcPr>
          <w:p w14:paraId="123ADA13" w14:textId="77777777" w:rsidR="003B40DD" w:rsidRPr="005B3ABD" w:rsidRDefault="003B40DD" w:rsidP="00882D36">
            <w:pPr>
              <w:pStyle w:val="Normal6"/>
              <w:rPr>
                <w:color w:val="000005"/>
                <w:szCs w:val="24"/>
              </w:rPr>
            </w:pPr>
            <w:r w:rsidRPr="005B3ABD">
              <w:t xml:space="preserve">(a) common wheat, durum wheat, barley and maize, </w:t>
            </w:r>
            <w:r w:rsidRPr="005B3ABD">
              <w:rPr>
                <w:b/>
                <w:bCs/>
                <w:i/>
                <w:iCs/>
              </w:rPr>
              <w:t>throughout the year</w:t>
            </w:r>
            <w:r w:rsidRPr="005B3ABD">
              <w:t>;</w:t>
            </w:r>
          </w:p>
        </w:tc>
      </w:tr>
      <w:tr w:rsidR="003B40DD" w:rsidRPr="005B3ABD" w14:paraId="379DECB6" w14:textId="77777777" w:rsidTr="00882D36">
        <w:trPr>
          <w:jc w:val="center"/>
        </w:trPr>
        <w:tc>
          <w:tcPr>
            <w:tcW w:w="4876" w:type="dxa"/>
          </w:tcPr>
          <w:p w14:paraId="2A6DC15B" w14:textId="77777777" w:rsidR="003B40DD" w:rsidRPr="005B3ABD" w:rsidRDefault="003B40DD" w:rsidP="00882D36">
            <w:pPr>
              <w:pStyle w:val="Normal6"/>
              <w:rPr>
                <w:color w:val="0000FA"/>
              </w:rPr>
            </w:pPr>
            <w:r w:rsidRPr="005B3ABD">
              <w:t xml:space="preserve">(b) paddy rice, </w:t>
            </w:r>
            <w:r w:rsidRPr="005B3ABD">
              <w:rPr>
                <w:b/>
                <w:bCs/>
                <w:i/>
                <w:iCs/>
              </w:rPr>
              <w:t>from 1 April to 31 July</w:t>
            </w:r>
            <w:r w:rsidRPr="005B3ABD">
              <w:t>;</w:t>
            </w:r>
          </w:p>
        </w:tc>
        <w:tc>
          <w:tcPr>
            <w:tcW w:w="4876" w:type="dxa"/>
          </w:tcPr>
          <w:p w14:paraId="4F9F9181" w14:textId="77777777" w:rsidR="003B40DD" w:rsidRPr="005B3ABD" w:rsidRDefault="003B40DD" w:rsidP="00882D36">
            <w:pPr>
              <w:pStyle w:val="Normal6"/>
              <w:rPr>
                <w:color w:val="000005"/>
                <w:szCs w:val="24"/>
              </w:rPr>
            </w:pPr>
            <w:r w:rsidRPr="005B3ABD">
              <w:t xml:space="preserve">(b) paddy rice, </w:t>
            </w:r>
            <w:r w:rsidRPr="005B3ABD">
              <w:rPr>
                <w:b/>
                <w:bCs/>
                <w:i/>
                <w:iCs/>
              </w:rPr>
              <w:t>throughout the year</w:t>
            </w:r>
            <w:r w:rsidRPr="005B3ABD">
              <w:t>;</w:t>
            </w:r>
          </w:p>
        </w:tc>
      </w:tr>
      <w:tr w:rsidR="003B40DD" w:rsidRPr="005B3ABD" w14:paraId="31EE4425" w14:textId="77777777" w:rsidTr="00882D36">
        <w:trPr>
          <w:jc w:val="center"/>
        </w:trPr>
        <w:tc>
          <w:tcPr>
            <w:tcW w:w="4876" w:type="dxa"/>
          </w:tcPr>
          <w:p w14:paraId="408EDCB5" w14:textId="77777777" w:rsidR="003B40DD" w:rsidRPr="005B3ABD" w:rsidRDefault="003B40DD" w:rsidP="00882D36">
            <w:pPr>
              <w:pStyle w:val="Normal6"/>
              <w:rPr>
                <w:color w:val="0000FA"/>
              </w:rPr>
            </w:pPr>
            <w:r w:rsidRPr="005B3ABD">
              <w:t>(c) beef and veal, throughout the year;</w:t>
            </w:r>
          </w:p>
        </w:tc>
        <w:tc>
          <w:tcPr>
            <w:tcW w:w="4876" w:type="dxa"/>
          </w:tcPr>
          <w:p w14:paraId="43B5D662" w14:textId="77777777" w:rsidR="003B40DD" w:rsidRPr="005B3ABD" w:rsidRDefault="003B40DD" w:rsidP="00882D36">
            <w:pPr>
              <w:pStyle w:val="Normal6"/>
              <w:rPr>
                <w:color w:val="000005"/>
                <w:szCs w:val="24"/>
              </w:rPr>
            </w:pPr>
            <w:r w:rsidRPr="005B3ABD">
              <w:t>(c) beef and veal, throughout the year;</w:t>
            </w:r>
          </w:p>
        </w:tc>
      </w:tr>
      <w:tr w:rsidR="003B40DD" w:rsidRPr="005B3ABD" w14:paraId="14AA1FE3" w14:textId="77777777" w:rsidTr="00882D36">
        <w:trPr>
          <w:jc w:val="center"/>
        </w:trPr>
        <w:tc>
          <w:tcPr>
            <w:tcW w:w="4876" w:type="dxa"/>
          </w:tcPr>
          <w:p w14:paraId="1CB9116A" w14:textId="77777777" w:rsidR="003B40DD" w:rsidRPr="005B3ABD" w:rsidRDefault="003B40DD" w:rsidP="00882D36">
            <w:pPr>
              <w:pStyle w:val="Normal6"/>
              <w:rPr>
                <w:color w:val="0000FA"/>
              </w:rPr>
            </w:pPr>
            <w:r w:rsidRPr="005B3ABD">
              <w:t xml:space="preserve">(d) butter and skimmed milk powder, </w:t>
            </w:r>
            <w:r w:rsidRPr="005B3ABD">
              <w:rPr>
                <w:b/>
                <w:bCs/>
                <w:i/>
                <w:iCs/>
              </w:rPr>
              <w:t>from 1 March to 30 September</w:t>
            </w:r>
            <w:r w:rsidRPr="005B3ABD">
              <w:t>.</w:t>
            </w:r>
          </w:p>
        </w:tc>
        <w:tc>
          <w:tcPr>
            <w:tcW w:w="4876" w:type="dxa"/>
          </w:tcPr>
          <w:p w14:paraId="02DDDE69" w14:textId="77777777" w:rsidR="003B40DD" w:rsidRPr="005B3ABD" w:rsidRDefault="003B40DD" w:rsidP="00882D36">
            <w:pPr>
              <w:pStyle w:val="Normal6"/>
              <w:rPr>
                <w:color w:val="000005"/>
                <w:szCs w:val="24"/>
              </w:rPr>
            </w:pPr>
            <w:r w:rsidRPr="005B3ABD">
              <w:t xml:space="preserve">(d) butter and skimmed milk powder, </w:t>
            </w:r>
            <w:r w:rsidRPr="005B3ABD">
              <w:rPr>
                <w:b/>
                <w:bCs/>
                <w:i/>
                <w:iCs/>
              </w:rPr>
              <w:t>throughout the year</w:t>
            </w:r>
            <w:r w:rsidRPr="005B3ABD">
              <w:t>.</w:t>
            </w:r>
          </w:p>
        </w:tc>
      </w:tr>
      <w:tr w:rsidR="003B40DD" w:rsidRPr="005B3ABD" w14:paraId="2BBA43C8" w14:textId="77777777" w:rsidTr="00882D36">
        <w:trPr>
          <w:jc w:val="center"/>
        </w:trPr>
        <w:tc>
          <w:tcPr>
            <w:tcW w:w="4876" w:type="dxa"/>
          </w:tcPr>
          <w:p w14:paraId="5D9614B7" w14:textId="77777777" w:rsidR="003B40DD" w:rsidRPr="005B3ABD" w:rsidRDefault="003B40DD" w:rsidP="00882D36">
            <w:pPr>
              <w:pStyle w:val="Normal6"/>
              <w:rPr>
                <w:color w:val="0000FA"/>
              </w:rPr>
            </w:pPr>
          </w:p>
        </w:tc>
        <w:tc>
          <w:tcPr>
            <w:tcW w:w="4876" w:type="dxa"/>
          </w:tcPr>
          <w:p w14:paraId="61A5ABBC" w14:textId="77777777" w:rsidR="003B40DD" w:rsidRPr="005B3ABD" w:rsidRDefault="003B40DD" w:rsidP="00882D36">
            <w:pPr>
              <w:pStyle w:val="Normal6"/>
              <w:rPr>
                <w:color w:val="000005"/>
                <w:szCs w:val="24"/>
              </w:rPr>
            </w:pPr>
            <w:r w:rsidRPr="005B3ABD">
              <w:rPr>
                <w:b/>
                <w:i/>
              </w:rPr>
              <w:t>(d a) sheepmeat, throughout the year;</w:t>
            </w:r>
          </w:p>
        </w:tc>
      </w:tr>
      <w:tr w:rsidR="003B40DD" w:rsidRPr="005B3ABD" w14:paraId="22987038" w14:textId="77777777" w:rsidTr="00882D36">
        <w:trPr>
          <w:jc w:val="center"/>
        </w:trPr>
        <w:tc>
          <w:tcPr>
            <w:tcW w:w="4876" w:type="dxa"/>
          </w:tcPr>
          <w:p w14:paraId="23C72C7F" w14:textId="77777777" w:rsidR="003B40DD" w:rsidRPr="005B3ABD" w:rsidRDefault="003B40DD" w:rsidP="00882D36">
            <w:pPr>
              <w:pStyle w:val="Normal6"/>
              <w:rPr>
                <w:color w:val="0000FA"/>
              </w:rPr>
            </w:pPr>
          </w:p>
        </w:tc>
        <w:tc>
          <w:tcPr>
            <w:tcW w:w="4876" w:type="dxa"/>
          </w:tcPr>
          <w:p w14:paraId="2B02B9A3" w14:textId="77777777" w:rsidR="003B40DD" w:rsidRPr="005B3ABD" w:rsidRDefault="003B40DD" w:rsidP="00882D36">
            <w:pPr>
              <w:pStyle w:val="Normal6"/>
              <w:rPr>
                <w:color w:val="000005"/>
                <w:szCs w:val="24"/>
              </w:rPr>
            </w:pPr>
            <w:r w:rsidRPr="005B3ABD">
              <w:rPr>
                <w:b/>
                <w:i/>
              </w:rPr>
              <w:t>(d b) pigmeat, throughout the year;</w:t>
            </w:r>
          </w:p>
        </w:tc>
      </w:tr>
      <w:tr w:rsidR="003B40DD" w:rsidRPr="005B3ABD" w14:paraId="028317D7" w14:textId="77777777" w:rsidTr="00882D36">
        <w:trPr>
          <w:jc w:val="center"/>
        </w:trPr>
        <w:tc>
          <w:tcPr>
            <w:tcW w:w="4876" w:type="dxa"/>
          </w:tcPr>
          <w:p w14:paraId="4D15CB31" w14:textId="77777777" w:rsidR="003B40DD" w:rsidRPr="005B3ABD" w:rsidRDefault="003B40DD" w:rsidP="00882D36">
            <w:pPr>
              <w:pStyle w:val="Normal6"/>
              <w:rPr>
                <w:color w:val="0000FA"/>
              </w:rPr>
            </w:pPr>
          </w:p>
        </w:tc>
        <w:tc>
          <w:tcPr>
            <w:tcW w:w="4876" w:type="dxa"/>
          </w:tcPr>
          <w:p w14:paraId="5820EF24" w14:textId="77777777" w:rsidR="003B40DD" w:rsidRPr="005B3ABD" w:rsidRDefault="003B40DD" w:rsidP="00882D36">
            <w:pPr>
              <w:pStyle w:val="Normal6"/>
              <w:rPr>
                <w:szCs w:val="24"/>
              </w:rPr>
            </w:pPr>
            <w:r w:rsidRPr="005B3ABD">
              <w:rPr>
                <w:b/>
                <w:i/>
              </w:rPr>
              <w:t xml:space="preserve">(d c) </w:t>
            </w:r>
            <w:r w:rsidRPr="005B3ABD">
              <w:rPr>
                <w:b/>
                <w:bCs/>
                <w:i/>
                <w:iCs/>
              </w:rPr>
              <w:t>white sugar,</w:t>
            </w:r>
            <w:r w:rsidRPr="005B3ABD">
              <w:t xml:space="preserve"> </w:t>
            </w:r>
            <w:r w:rsidRPr="005B3ABD">
              <w:rPr>
                <w:b/>
                <w:bCs/>
                <w:i/>
                <w:iCs/>
              </w:rPr>
              <w:t>throughout the year</w:t>
            </w:r>
            <w:r w:rsidRPr="005B3ABD">
              <w:t>.</w:t>
            </w:r>
            <w:r w:rsidRPr="005B3ABD">
              <w:rPr>
                <w:b/>
                <w:bCs/>
                <w:i/>
                <w:iCs/>
              </w:rPr>
              <w:t>”</w:t>
            </w:r>
            <w:r w:rsidRPr="005B3ABD">
              <w:rPr>
                <w:b/>
                <w:i/>
              </w:rPr>
              <w:t xml:space="preserve"> </w:t>
            </w:r>
          </w:p>
        </w:tc>
      </w:tr>
    </w:tbl>
    <w:p w14:paraId="7A364BD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007CAC1" w14:textId="77777777" w:rsidR="003B40DD" w:rsidRPr="005B3ABD" w:rsidRDefault="003B40DD" w:rsidP="003B40DD">
      <w:pPr>
        <w:pStyle w:val="CrossRef"/>
      </w:pPr>
      <w:r w:rsidRPr="005B3ABD">
        <w:t>(https://eur-lex.europa.eu/legal-content/EN/TXT/?uri=CELEX:02013R1308-20180101)</w:t>
      </w:r>
    </w:p>
    <w:p w14:paraId="15FA044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3834ADF" w14:textId="77777777" w:rsidR="003B40DD" w:rsidRPr="005B3ABD" w:rsidRDefault="003B40DD" w:rsidP="003B40DD">
      <w:pPr>
        <w:pStyle w:val="Normal12Italic"/>
      </w:pPr>
      <w:r w:rsidRPr="005B3ABD">
        <w:t>The reference thresholds for intervention were lowered in previous reforms to a level that is low enough not to serve as an automatic market opportunity as may have been the case in the 1980s for instance. Henceforth, there is no longer any reason to limit interventions to certain periods: this will allow improved responsiveness from the regulator in times of crisis. We have seen that this could be beneficial during the latest dairy crisis.</w:t>
      </w:r>
    </w:p>
    <w:p w14:paraId="4EDC2B7F" w14:textId="77777777" w:rsidR="003B40DD" w:rsidRPr="005B3ABD" w:rsidRDefault="003B40DD" w:rsidP="003B40DD">
      <w:r w:rsidRPr="005B3ABD">
        <w:rPr>
          <w:rStyle w:val="HideTWBExt"/>
          <w:noProof w:val="0"/>
          <w:color w:val="auto"/>
        </w:rPr>
        <w:t>&lt;/Amend&gt;</w:t>
      </w:r>
    </w:p>
    <w:p w14:paraId="3B9D8706"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14</w:t>
      </w:r>
      <w:r w:rsidRPr="005B3ABD">
        <w:rPr>
          <w:rStyle w:val="HideTWBExt"/>
          <w:b w:val="0"/>
          <w:noProof w:val="0"/>
          <w:color w:val="auto"/>
        </w:rPr>
        <w:t>&lt;/NumAm&gt;</w:t>
      </w:r>
    </w:p>
    <w:p w14:paraId="2551CFD1"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E9E4836"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h (new)</w:t>
      </w:r>
      <w:r w:rsidRPr="005B3ABD">
        <w:rPr>
          <w:rStyle w:val="HideTWBExt"/>
          <w:b w:val="0"/>
          <w:noProof w:val="0"/>
          <w:color w:val="auto"/>
        </w:rPr>
        <w:t>&lt;/Article&gt;</w:t>
      </w:r>
    </w:p>
    <w:p w14:paraId="29451DC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B9527AC" w14:textId="77777777" w:rsidR="003B40DD" w:rsidRPr="005B3ABD" w:rsidRDefault="003B40DD" w:rsidP="003B40DD">
      <w:r w:rsidRPr="005B3ABD">
        <w:rPr>
          <w:rStyle w:val="HideTWBExt"/>
          <w:noProof w:val="0"/>
          <w:color w:val="auto"/>
        </w:rPr>
        <w:t>&lt;Article2&gt;</w:t>
      </w:r>
      <w:r w:rsidRPr="005B3ABD">
        <w:t>Article 16 – paragraph 3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7234EA5" w14:textId="77777777" w:rsidTr="00882D36">
        <w:trPr>
          <w:jc w:val="center"/>
        </w:trPr>
        <w:tc>
          <w:tcPr>
            <w:tcW w:w="9752" w:type="dxa"/>
            <w:gridSpan w:val="2"/>
          </w:tcPr>
          <w:p w14:paraId="041FE866" w14:textId="77777777" w:rsidR="003B40DD" w:rsidRPr="005B3ABD" w:rsidRDefault="003B40DD" w:rsidP="00882D36">
            <w:pPr>
              <w:keepNext/>
            </w:pPr>
          </w:p>
        </w:tc>
      </w:tr>
      <w:tr w:rsidR="003B40DD" w:rsidRPr="005B3ABD" w14:paraId="30BE1DA2" w14:textId="77777777" w:rsidTr="00882D36">
        <w:trPr>
          <w:jc w:val="center"/>
        </w:trPr>
        <w:tc>
          <w:tcPr>
            <w:tcW w:w="4876" w:type="dxa"/>
          </w:tcPr>
          <w:p w14:paraId="008CF5A0" w14:textId="77777777" w:rsidR="003B40DD" w:rsidRPr="005B3ABD" w:rsidRDefault="003B40DD" w:rsidP="00882D36">
            <w:pPr>
              <w:pStyle w:val="ColumnHeading"/>
              <w:keepNext/>
              <w:rPr>
                <w:color w:val="0000FA"/>
              </w:rPr>
            </w:pPr>
            <w:r w:rsidRPr="005B3ABD">
              <w:t>Text proposed by the Commission</w:t>
            </w:r>
          </w:p>
        </w:tc>
        <w:tc>
          <w:tcPr>
            <w:tcW w:w="4876" w:type="dxa"/>
          </w:tcPr>
          <w:p w14:paraId="3AB79AE5" w14:textId="77777777" w:rsidR="003B40DD" w:rsidRPr="005B3ABD" w:rsidRDefault="003B40DD" w:rsidP="00882D36">
            <w:pPr>
              <w:pStyle w:val="ColumnHeading"/>
              <w:keepNext/>
              <w:rPr>
                <w:color w:val="0000F5"/>
              </w:rPr>
            </w:pPr>
            <w:r w:rsidRPr="005B3ABD">
              <w:t>Amendment</w:t>
            </w:r>
          </w:p>
        </w:tc>
      </w:tr>
      <w:tr w:rsidR="003B40DD" w:rsidRPr="005B3ABD" w14:paraId="20A1D7A7" w14:textId="77777777" w:rsidTr="00882D36">
        <w:trPr>
          <w:jc w:val="center"/>
        </w:trPr>
        <w:tc>
          <w:tcPr>
            <w:tcW w:w="4876" w:type="dxa"/>
          </w:tcPr>
          <w:p w14:paraId="08839803" w14:textId="77777777" w:rsidR="003B40DD" w:rsidRPr="005B3ABD" w:rsidRDefault="003B40DD" w:rsidP="00882D36">
            <w:pPr>
              <w:pStyle w:val="Normal6"/>
              <w:rPr>
                <w:color w:val="0000FA"/>
              </w:rPr>
            </w:pPr>
          </w:p>
        </w:tc>
        <w:tc>
          <w:tcPr>
            <w:tcW w:w="4876" w:type="dxa"/>
          </w:tcPr>
          <w:p w14:paraId="3B6B5B7E" w14:textId="77777777" w:rsidR="003B40DD" w:rsidRPr="005B3ABD" w:rsidRDefault="003B40DD" w:rsidP="00882D36">
            <w:pPr>
              <w:pStyle w:val="Normal6"/>
              <w:rPr>
                <w:color w:val="000005"/>
                <w:szCs w:val="24"/>
              </w:rPr>
            </w:pPr>
            <w:r w:rsidRPr="005B3ABD">
              <w:rPr>
                <w:b/>
                <w:i/>
              </w:rPr>
              <w:t>(3 h)</w:t>
            </w:r>
            <w:r w:rsidRPr="005B3ABD">
              <w:rPr>
                <w:b/>
                <w:i/>
              </w:rPr>
              <w:tab/>
              <w:t>In Article 16, the following paragraph is added:</w:t>
            </w:r>
          </w:p>
        </w:tc>
      </w:tr>
      <w:tr w:rsidR="003B40DD" w:rsidRPr="005B3ABD" w14:paraId="78E65C05" w14:textId="77777777" w:rsidTr="00882D36">
        <w:trPr>
          <w:jc w:val="center"/>
        </w:trPr>
        <w:tc>
          <w:tcPr>
            <w:tcW w:w="4876" w:type="dxa"/>
          </w:tcPr>
          <w:p w14:paraId="7BDAE433" w14:textId="77777777" w:rsidR="003B40DD" w:rsidRPr="005B3ABD" w:rsidRDefault="003B40DD" w:rsidP="00882D36">
            <w:pPr>
              <w:pStyle w:val="Normal6"/>
              <w:rPr>
                <w:color w:val="0000FA"/>
              </w:rPr>
            </w:pPr>
          </w:p>
        </w:tc>
        <w:tc>
          <w:tcPr>
            <w:tcW w:w="4876" w:type="dxa"/>
          </w:tcPr>
          <w:p w14:paraId="1771841F" w14:textId="77777777" w:rsidR="003B40DD" w:rsidRPr="005B3ABD" w:rsidRDefault="003B40DD" w:rsidP="00882D36">
            <w:pPr>
              <w:pStyle w:val="Normal6"/>
              <w:rPr>
                <w:szCs w:val="24"/>
              </w:rPr>
            </w:pPr>
            <w:r w:rsidRPr="005B3ABD">
              <w:rPr>
                <w:b/>
                <w:i/>
              </w:rPr>
              <w:t>3 a. Member States shall notify the Commission of information on the identity of companies that have used public intervention as well as buyers of public intervention stock so as to be in a position to respond to paragraphs 1 and 3.</w:t>
            </w:r>
          </w:p>
        </w:tc>
      </w:tr>
    </w:tbl>
    <w:p w14:paraId="386525F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B6DB81E"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B3D0C65" w14:textId="77777777" w:rsidR="003B40DD" w:rsidRPr="005B3ABD" w:rsidRDefault="003B40DD" w:rsidP="003B40DD">
      <w:pPr>
        <w:pStyle w:val="Normal12Italic"/>
      </w:pPr>
      <w:r w:rsidRPr="005B3ABD">
        <w:t>Information on the identity of buyers of public intervention stock is not systematically communicated to the Commission; the latter is therefore not able to characterise market disturbance effects or to ensure compliance with international agreements. This is all the more important considering that tender procedures allow stock to be sold at a much lower level than the purchase price, where the differential is considered as a form of support.</w:t>
      </w:r>
    </w:p>
    <w:p w14:paraId="5011730E" w14:textId="77777777" w:rsidR="003B40DD" w:rsidRPr="005B3ABD" w:rsidRDefault="003B40DD" w:rsidP="003B40DD">
      <w:r w:rsidRPr="005B3ABD">
        <w:rPr>
          <w:rStyle w:val="HideTWBExt"/>
          <w:noProof w:val="0"/>
          <w:color w:val="auto"/>
        </w:rPr>
        <w:t>&lt;/Amend&gt;</w:t>
      </w:r>
    </w:p>
    <w:p w14:paraId="320ADFA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15</w:t>
      </w:r>
      <w:r w:rsidRPr="005B3ABD">
        <w:rPr>
          <w:rStyle w:val="HideTWBExt"/>
          <w:b w:val="0"/>
          <w:noProof w:val="0"/>
          <w:color w:val="auto"/>
        </w:rPr>
        <w:t>&lt;/NumAm&gt;</w:t>
      </w:r>
    </w:p>
    <w:p w14:paraId="6634026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44D34B5"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4 a (new)</w:t>
      </w:r>
      <w:r w:rsidRPr="005B3ABD">
        <w:rPr>
          <w:rStyle w:val="HideTWBExt"/>
          <w:b w:val="0"/>
          <w:noProof w:val="0"/>
          <w:color w:val="auto"/>
        </w:rPr>
        <w:t>&lt;/Article&gt;</w:t>
      </w:r>
    </w:p>
    <w:p w14:paraId="50EBF74B"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77AD5AF" w14:textId="77777777" w:rsidR="003B40DD" w:rsidRPr="005B3ABD" w:rsidRDefault="003B40DD" w:rsidP="003B40DD">
      <w:r w:rsidRPr="005B3ABD">
        <w:rPr>
          <w:rStyle w:val="HideTWBExt"/>
          <w:noProof w:val="0"/>
          <w:color w:val="auto"/>
        </w:rPr>
        <w:t>&lt;Article2&gt;</w:t>
      </w:r>
      <w:r w:rsidRPr="005B3ABD">
        <w:t>Article 61</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BFB98E6" w14:textId="77777777" w:rsidTr="00882D36">
        <w:trPr>
          <w:jc w:val="center"/>
        </w:trPr>
        <w:tc>
          <w:tcPr>
            <w:tcW w:w="9752" w:type="dxa"/>
            <w:gridSpan w:val="2"/>
          </w:tcPr>
          <w:p w14:paraId="0E646176" w14:textId="77777777" w:rsidR="003B40DD" w:rsidRPr="005B3ABD" w:rsidRDefault="003B40DD" w:rsidP="00882D36">
            <w:pPr>
              <w:keepNext/>
            </w:pPr>
          </w:p>
        </w:tc>
      </w:tr>
      <w:tr w:rsidR="003B40DD" w:rsidRPr="005B3ABD" w14:paraId="707926E1" w14:textId="77777777" w:rsidTr="00882D36">
        <w:trPr>
          <w:jc w:val="center"/>
        </w:trPr>
        <w:tc>
          <w:tcPr>
            <w:tcW w:w="4876" w:type="dxa"/>
          </w:tcPr>
          <w:p w14:paraId="3E258FC3" w14:textId="77777777" w:rsidR="003B40DD" w:rsidRPr="005B3ABD" w:rsidRDefault="003B40DD" w:rsidP="00882D36">
            <w:pPr>
              <w:pStyle w:val="ColumnHeading"/>
              <w:keepNext/>
              <w:rPr>
                <w:color w:val="0000FA"/>
              </w:rPr>
            </w:pPr>
            <w:r w:rsidRPr="005B3ABD">
              <w:t>This text</w:t>
            </w:r>
          </w:p>
        </w:tc>
        <w:tc>
          <w:tcPr>
            <w:tcW w:w="4876" w:type="dxa"/>
          </w:tcPr>
          <w:p w14:paraId="42090E5F" w14:textId="77777777" w:rsidR="003B40DD" w:rsidRPr="005B3ABD" w:rsidRDefault="003B40DD" w:rsidP="00882D36">
            <w:pPr>
              <w:pStyle w:val="ColumnHeading"/>
              <w:keepNext/>
              <w:rPr>
                <w:color w:val="0000F5"/>
              </w:rPr>
            </w:pPr>
            <w:r w:rsidRPr="005B3ABD">
              <w:t>Amendment</w:t>
            </w:r>
          </w:p>
        </w:tc>
      </w:tr>
      <w:tr w:rsidR="003B40DD" w:rsidRPr="005B3ABD" w14:paraId="089F6A81" w14:textId="77777777" w:rsidTr="00882D36">
        <w:trPr>
          <w:jc w:val="center"/>
        </w:trPr>
        <w:tc>
          <w:tcPr>
            <w:tcW w:w="4876" w:type="dxa"/>
          </w:tcPr>
          <w:p w14:paraId="72D573CE" w14:textId="77777777" w:rsidR="003B40DD" w:rsidRPr="005B3ABD" w:rsidRDefault="003B40DD" w:rsidP="00882D36">
            <w:pPr>
              <w:pStyle w:val="Normal6"/>
              <w:rPr>
                <w:color w:val="0000FA"/>
              </w:rPr>
            </w:pPr>
          </w:p>
        </w:tc>
        <w:tc>
          <w:tcPr>
            <w:tcW w:w="4876" w:type="dxa"/>
          </w:tcPr>
          <w:p w14:paraId="01C89F99" w14:textId="77777777" w:rsidR="003B40DD" w:rsidRPr="005B3ABD" w:rsidRDefault="003B40DD" w:rsidP="00882D36">
            <w:pPr>
              <w:pStyle w:val="Normal6"/>
              <w:rPr>
                <w:color w:val="000005"/>
                <w:szCs w:val="24"/>
              </w:rPr>
            </w:pPr>
            <w:r w:rsidRPr="005B3ABD">
              <w:rPr>
                <w:b/>
                <w:i/>
              </w:rPr>
              <w:t>(4 a)</w:t>
            </w:r>
            <w:r w:rsidRPr="005B3ABD">
              <w:rPr>
                <w:b/>
                <w:i/>
              </w:rPr>
              <w:tab/>
              <w:t>Article 61 is replaced by the following:</w:t>
            </w:r>
          </w:p>
        </w:tc>
      </w:tr>
      <w:tr w:rsidR="003B40DD" w:rsidRPr="005B3ABD" w14:paraId="52E7F59D" w14:textId="77777777" w:rsidTr="00882D36">
        <w:trPr>
          <w:jc w:val="center"/>
        </w:trPr>
        <w:tc>
          <w:tcPr>
            <w:tcW w:w="4876" w:type="dxa"/>
          </w:tcPr>
          <w:p w14:paraId="66C59A00" w14:textId="77777777" w:rsidR="003B40DD" w:rsidRPr="005B3ABD" w:rsidRDefault="003B40DD" w:rsidP="00882D36">
            <w:pPr>
              <w:pStyle w:val="Normal6"/>
              <w:jc w:val="center"/>
              <w:rPr>
                <w:color w:val="0000FA"/>
              </w:rPr>
            </w:pPr>
            <w:r w:rsidRPr="005B3ABD">
              <w:t>Article 61</w:t>
            </w:r>
          </w:p>
        </w:tc>
        <w:tc>
          <w:tcPr>
            <w:tcW w:w="4876" w:type="dxa"/>
          </w:tcPr>
          <w:p w14:paraId="45B1D93E" w14:textId="77777777" w:rsidR="003B40DD" w:rsidRPr="005B3ABD" w:rsidRDefault="003B40DD" w:rsidP="00882D36">
            <w:pPr>
              <w:pStyle w:val="Normal6"/>
              <w:jc w:val="center"/>
              <w:rPr>
                <w:color w:val="000005"/>
              </w:rPr>
            </w:pPr>
            <w:r w:rsidRPr="005B3ABD">
              <w:t>“Article 61</w:t>
            </w:r>
          </w:p>
        </w:tc>
      </w:tr>
      <w:tr w:rsidR="003B40DD" w:rsidRPr="005B3ABD" w14:paraId="6E451847" w14:textId="77777777" w:rsidTr="00882D36">
        <w:trPr>
          <w:jc w:val="center"/>
        </w:trPr>
        <w:tc>
          <w:tcPr>
            <w:tcW w:w="4876" w:type="dxa"/>
          </w:tcPr>
          <w:p w14:paraId="27C67CED" w14:textId="77777777" w:rsidR="003B40DD" w:rsidRPr="005B3ABD" w:rsidRDefault="003B40DD" w:rsidP="00882D36">
            <w:pPr>
              <w:pStyle w:val="Normal6"/>
              <w:jc w:val="center"/>
              <w:rPr>
                <w:color w:val="0000FA"/>
              </w:rPr>
            </w:pPr>
            <w:r w:rsidRPr="005B3ABD">
              <w:t>Duration</w:t>
            </w:r>
          </w:p>
        </w:tc>
        <w:tc>
          <w:tcPr>
            <w:tcW w:w="4876" w:type="dxa"/>
          </w:tcPr>
          <w:p w14:paraId="04B3515D" w14:textId="77777777" w:rsidR="003B40DD" w:rsidRPr="005B3ABD" w:rsidRDefault="003B40DD" w:rsidP="00882D36">
            <w:pPr>
              <w:pStyle w:val="Normal6"/>
              <w:jc w:val="center"/>
              <w:rPr>
                <w:color w:val="000005"/>
              </w:rPr>
            </w:pPr>
            <w:r w:rsidRPr="005B3ABD">
              <w:t>Duration</w:t>
            </w:r>
          </w:p>
        </w:tc>
      </w:tr>
      <w:tr w:rsidR="003B40DD" w:rsidRPr="005B3ABD" w14:paraId="5E5C4A8C" w14:textId="77777777" w:rsidTr="00882D36">
        <w:trPr>
          <w:jc w:val="center"/>
        </w:trPr>
        <w:tc>
          <w:tcPr>
            <w:tcW w:w="4876" w:type="dxa"/>
          </w:tcPr>
          <w:p w14:paraId="6BC13E2C" w14:textId="77777777" w:rsidR="003B40DD" w:rsidRPr="005B3ABD" w:rsidRDefault="003B40DD" w:rsidP="00882D36">
            <w:pPr>
              <w:pStyle w:val="Normal6"/>
              <w:rPr>
                <w:color w:val="0000FA"/>
              </w:rPr>
            </w:pPr>
            <w:r w:rsidRPr="005B3ABD">
              <w:t xml:space="preserve">The scheme of authorisations for vine plantings established in this Chapter </w:t>
            </w:r>
            <w:r w:rsidRPr="005B3ABD">
              <w:rPr>
                <w:b/>
                <w:bCs/>
                <w:i/>
                <w:iCs/>
              </w:rPr>
              <w:t>shall apply from 1 January 2016 to 31 December 2030,</w:t>
            </w:r>
            <w:r w:rsidRPr="005B3ABD">
              <w:t xml:space="preserve"> </w:t>
            </w:r>
            <w:r w:rsidRPr="005B3ABD">
              <w:rPr>
                <w:b/>
                <w:bCs/>
                <w:i/>
                <w:iCs/>
              </w:rPr>
              <w:t xml:space="preserve">with a mid-term review to be undertaken </w:t>
            </w:r>
            <w:r w:rsidRPr="005B3ABD">
              <w:t xml:space="preserve">by the Commission </w:t>
            </w:r>
            <w:r w:rsidRPr="005B3ABD">
              <w:rPr>
                <w:b/>
                <w:bCs/>
                <w:i/>
                <w:iCs/>
              </w:rPr>
              <w:t xml:space="preserve">to </w:t>
            </w:r>
            <w:r w:rsidRPr="005B3ABD">
              <w:rPr>
                <w:b/>
                <w:bCs/>
                <w:i/>
                <w:iCs/>
              </w:rPr>
              <w:lastRenderedPageBreak/>
              <w:t>evaluate</w:t>
            </w:r>
            <w:r w:rsidRPr="005B3ABD">
              <w:t xml:space="preserve"> the operation </w:t>
            </w:r>
            <w:r w:rsidRPr="005B3ABD">
              <w:rPr>
                <w:b/>
                <w:bCs/>
                <w:i/>
                <w:iCs/>
              </w:rPr>
              <w:t>of the scheme and</w:t>
            </w:r>
            <w:r w:rsidRPr="005B3ABD">
              <w:t>, if appropriate, make proposals.</w:t>
            </w:r>
          </w:p>
        </w:tc>
        <w:tc>
          <w:tcPr>
            <w:tcW w:w="4876" w:type="dxa"/>
          </w:tcPr>
          <w:p w14:paraId="6F7B0ADA" w14:textId="77777777" w:rsidR="003B40DD" w:rsidRPr="005B3ABD" w:rsidRDefault="003B40DD" w:rsidP="00882D36">
            <w:pPr>
              <w:pStyle w:val="Normal6"/>
              <w:rPr>
                <w:szCs w:val="24"/>
              </w:rPr>
            </w:pPr>
            <w:r w:rsidRPr="005B3ABD">
              <w:lastRenderedPageBreak/>
              <w:t xml:space="preserve">The scheme of authorisations for vine plantings established in this Chapter </w:t>
            </w:r>
            <w:r w:rsidRPr="005B3ABD">
              <w:rPr>
                <w:b/>
                <w:bCs/>
                <w:i/>
                <w:iCs/>
              </w:rPr>
              <w:t xml:space="preserve">shall be examined </w:t>
            </w:r>
            <w:r w:rsidRPr="005B3ABD">
              <w:t xml:space="preserve">by the Commission </w:t>
            </w:r>
            <w:r w:rsidRPr="005B3ABD">
              <w:rPr>
                <w:b/>
                <w:bCs/>
                <w:i/>
                <w:iCs/>
              </w:rPr>
              <w:t>to evaluate</w:t>
            </w:r>
            <w:r w:rsidRPr="005B3ABD">
              <w:t xml:space="preserve"> the operation </w:t>
            </w:r>
            <w:r w:rsidRPr="005B3ABD">
              <w:rPr>
                <w:b/>
                <w:bCs/>
                <w:i/>
                <w:iCs/>
              </w:rPr>
              <w:t>in order</w:t>
            </w:r>
            <w:r w:rsidRPr="005B3ABD">
              <w:t xml:space="preserve">, if appropriate, </w:t>
            </w:r>
            <w:r w:rsidRPr="005B3ABD">
              <w:rPr>
                <w:b/>
                <w:bCs/>
                <w:i/>
                <w:iCs/>
              </w:rPr>
              <w:t>to</w:t>
            </w:r>
            <w:r w:rsidRPr="005B3ABD">
              <w:t xml:space="preserve"> make proposals </w:t>
            </w:r>
            <w:r w:rsidRPr="005B3ABD">
              <w:rPr>
                <w:b/>
                <w:bCs/>
                <w:i/>
                <w:iCs/>
              </w:rPr>
              <w:t xml:space="preserve">to improve </w:t>
            </w:r>
            <w:r w:rsidRPr="005B3ABD">
              <w:rPr>
                <w:b/>
                <w:bCs/>
                <w:i/>
                <w:iCs/>
              </w:rPr>
              <w:lastRenderedPageBreak/>
              <w:t>its efficacy</w:t>
            </w:r>
            <w:r w:rsidRPr="005B3ABD">
              <w:t>.”</w:t>
            </w:r>
            <w:r w:rsidRPr="005B3ABD">
              <w:rPr>
                <w:b/>
                <w:i/>
              </w:rPr>
              <w:t xml:space="preserve"> </w:t>
            </w:r>
          </w:p>
        </w:tc>
      </w:tr>
    </w:tbl>
    <w:p w14:paraId="15A4D8B8"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01AC7FC" w14:textId="77777777" w:rsidR="003B40DD" w:rsidRPr="005B3ABD" w:rsidRDefault="003B40DD" w:rsidP="003B40DD">
      <w:pPr>
        <w:pStyle w:val="CrossRef"/>
      </w:pPr>
      <w:r w:rsidRPr="005B3ABD">
        <w:t>(https://eur-lex.europa.eu/legal-content/EN/TXT/?uri=CELEX:32013R1308)</w:t>
      </w:r>
    </w:p>
    <w:p w14:paraId="4E76F0C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3FFE13A" w14:textId="77777777" w:rsidR="003B40DD" w:rsidRPr="005B3ABD" w:rsidRDefault="003B40DD" w:rsidP="003B40DD">
      <w:pPr>
        <w:pStyle w:val="Normal12Italic"/>
      </w:pPr>
      <w:r w:rsidRPr="005B3ABD">
        <w:t>The implementation of the scheme of authorisations for vine plantings to replace the planting rights system during the 2013 reform is proving satisfactory. It is therefore necessary to continue the system and maintain the assessment obligation to help improve it if needed. The date chosen for the assessment is sufficiently in advance for the assessment results to be passed on to the preparatory works for the next period.</w:t>
      </w:r>
    </w:p>
    <w:p w14:paraId="4A704D3B" w14:textId="77777777" w:rsidR="003B40DD" w:rsidRPr="005B3ABD" w:rsidRDefault="003B40DD" w:rsidP="003B40DD">
      <w:r w:rsidRPr="005B3ABD">
        <w:rPr>
          <w:rStyle w:val="HideTWBExt"/>
          <w:noProof w:val="0"/>
          <w:color w:val="auto"/>
        </w:rPr>
        <w:t>&lt;/Amend&gt;</w:t>
      </w:r>
    </w:p>
    <w:p w14:paraId="540F8D2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16</w:t>
      </w:r>
      <w:r w:rsidRPr="005B3ABD">
        <w:rPr>
          <w:rStyle w:val="HideTWBExt"/>
          <w:b w:val="0"/>
          <w:noProof w:val="0"/>
          <w:color w:val="auto"/>
        </w:rPr>
        <w:t>&lt;/NumAm&gt;</w:t>
      </w:r>
    </w:p>
    <w:p w14:paraId="73A7DB2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098F3EE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a (new)</w:t>
      </w:r>
      <w:r w:rsidRPr="005B3ABD">
        <w:rPr>
          <w:rStyle w:val="HideTWBExt"/>
          <w:b w:val="0"/>
          <w:noProof w:val="0"/>
          <w:color w:val="auto"/>
        </w:rPr>
        <w:t>&lt;/Article&gt;</w:t>
      </w:r>
    </w:p>
    <w:p w14:paraId="576D3F18"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51A5C61" w14:textId="77777777" w:rsidR="003B40DD" w:rsidRPr="005B3ABD" w:rsidRDefault="003B40DD" w:rsidP="003B40DD">
      <w:r w:rsidRPr="005B3ABD">
        <w:rPr>
          <w:rStyle w:val="HideTWBExt"/>
          <w:noProof w:val="0"/>
          <w:color w:val="auto"/>
        </w:rPr>
        <w:t>&lt;Article2&gt;</w:t>
      </w:r>
      <w:r w:rsidRPr="005B3ABD">
        <w:t>Article 63 – paragraph 2 – point b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C64F134" w14:textId="77777777" w:rsidTr="00882D36">
        <w:trPr>
          <w:jc w:val="center"/>
        </w:trPr>
        <w:tc>
          <w:tcPr>
            <w:tcW w:w="9752" w:type="dxa"/>
            <w:gridSpan w:val="2"/>
          </w:tcPr>
          <w:p w14:paraId="2F56B4DB" w14:textId="77777777" w:rsidR="003B40DD" w:rsidRPr="005B3ABD" w:rsidRDefault="003B40DD" w:rsidP="00882D36">
            <w:pPr>
              <w:keepNext/>
            </w:pPr>
          </w:p>
        </w:tc>
      </w:tr>
      <w:tr w:rsidR="003B40DD" w:rsidRPr="005B3ABD" w14:paraId="701DF6E0" w14:textId="77777777" w:rsidTr="00882D36">
        <w:trPr>
          <w:jc w:val="center"/>
        </w:trPr>
        <w:tc>
          <w:tcPr>
            <w:tcW w:w="4876" w:type="dxa"/>
          </w:tcPr>
          <w:p w14:paraId="378621D8" w14:textId="77777777" w:rsidR="003B40DD" w:rsidRPr="005B3ABD" w:rsidRDefault="003B40DD" w:rsidP="00882D36">
            <w:pPr>
              <w:pStyle w:val="ColumnHeading"/>
              <w:keepNext/>
              <w:rPr>
                <w:color w:val="0000FA"/>
              </w:rPr>
            </w:pPr>
            <w:r w:rsidRPr="005B3ABD">
              <w:t>Text proposed by the Commission</w:t>
            </w:r>
          </w:p>
        </w:tc>
        <w:tc>
          <w:tcPr>
            <w:tcW w:w="4876" w:type="dxa"/>
          </w:tcPr>
          <w:p w14:paraId="2FCD4006" w14:textId="77777777" w:rsidR="003B40DD" w:rsidRPr="005B3ABD" w:rsidRDefault="003B40DD" w:rsidP="00882D36">
            <w:pPr>
              <w:pStyle w:val="ColumnHeading"/>
              <w:keepNext/>
              <w:rPr>
                <w:color w:val="0000F5"/>
              </w:rPr>
            </w:pPr>
            <w:r w:rsidRPr="005B3ABD">
              <w:t>Amendment</w:t>
            </w:r>
          </w:p>
        </w:tc>
      </w:tr>
      <w:tr w:rsidR="003B40DD" w:rsidRPr="005B3ABD" w14:paraId="2487EAF6" w14:textId="77777777" w:rsidTr="00882D36">
        <w:trPr>
          <w:jc w:val="center"/>
        </w:trPr>
        <w:tc>
          <w:tcPr>
            <w:tcW w:w="4876" w:type="dxa"/>
          </w:tcPr>
          <w:p w14:paraId="4894E144" w14:textId="77777777" w:rsidR="003B40DD" w:rsidRPr="005B3ABD" w:rsidRDefault="003B40DD" w:rsidP="00882D36">
            <w:pPr>
              <w:pStyle w:val="Normal6"/>
              <w:rPr>
                <w:color w:val="0000FA"/>
              </w:rPr>
            </w:pPr>
          </w:p>
        </w:tc>
        <w:tc>
          <w:tcPr>
            <w:tcW w:w="4876" w:type="dxa"/>
          </w:tcPr>
          <w:p w14:paraId="1292CB24" w14:textId="77777777" w:rsidR="003B40DD" w:rsidRPr="005B3ABD" w:rsidRDefault="003B40DD" w:rsidP="00882D36">
            <w:pPr>
              <w:pStyle w:val="Normal6"/>
              <w:rPr>
                <w:color w:val="000005"/>
                <w:szCs w:val="24"/>
              </w:rPr>
            </w:pPr>
            <w:r w:rsidRPr="005B3ABD">
              <w:rPr>
                <w:b/>
                <w:i/>
              </w:rPr>
              <w:t>(5 a)</w:t>
            </w:r>
            <w:r w:rsidRPr="005B3ABD">
              <w:rPr>
                <w:b/>
                <w:i/>
              </w:rPr>
              <w:tab/>
              <w:t>In Article 63, paragraph 2, the following point is inserted:</w:t>
            </w:r>
          </w:p>
        </w:tc>
      </w:tr>
      <w:tr w:rsidR="003B40DD" w:rsidRPr="005B3ABD" w14:paraId="557A85E4" w14:textId="77777777" w:rsidTr="00882D36">
        <w:trPr>
          <w:jc w:val="center"/>
        </w:trPr>
        <w:tc>
          <w:tcPr>
            <w:tcW w:w="4876" w:type="dxa"/>
          </w:tcPr>
          <w:p w14:paraId="0D4DB2C4" w14:textId="77777777" w:rsidR="003B40DD" w:rsidRPr="005B3ABD" w:rsidRDefault="003B40DD" w:rsidP="00882D36">
            <w:pPr>
              <w:pStyle w:val="Normal6"/>
              <w:rPr>
                <w:color w:val="0000FA"/>
              </w:rPr>
            </w:pPr>
          </w:p>
        </w:tc>
        <w:tc>
          <w:tcPr>
            <w:tcW w:w="4876" w:type="dxa"/>
          </w:tcPr>
          <w:p w14:paraId="78CFC30B" w14:textId="77777777" w:rsidR="003B40DD" w:rsidRPr="005B3ABD" w:rsidRDefault="003B40DD" w:rsidP="00882D36">
            <w:pPr>
              <w:pStyle w:val="Normal6"/>
              <w:rPr>
                <w:szCs w:val="24"/>
              </w:rPr>
            </w:pPr>
            <w:r w:rsidRPr="005B3ABD">
              <w:rPr>
                <w:b/>
                <w:i/>
              </w:rPr>
              <w:t>(b a) for the purposes of managing the scheme of authorisations for vine plantings, Member States may define, if necessary at a regional level, a maximum distance between the headquarters of the viticulture holding and the farmed plot that is located the furthest.</w:t>
            </w:r>
          </w:p>
        </w:tc>
      </w:tr>
    </w:tbl>
    <w:p w14:paraId="586F5045"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1675C1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5454702" w14:textId="77777777" w:rsidR="003B40DD" w:rsidRPr="005B3ABD" w:rsidRDefault="003B40DD" w:rsidP="003B40DD">
      <w:pPr>
        <w:pStyle w:val="Normal12Italic"/>
      </w:pPr>
      <w:r w:rsidRPr="005B3ABD">
        <w:t>It is necessary to adapt the definition of a holding with regard to viticulture. At present, a holding is defined in Regulation 1307/2013 as being all the units managed by a single legal entity situated within the territory of the same Member State. This definition is neither suited to nor consistent with a regional approach to the management of production capacity in viticulture.</w:t>
      </w:r>
    </w:p>
    <w:p w14:paraId="3DC1F157" w14:textId="77777777" w:rsidR="003B40DD" w:rsidRPr="005B3ABD" w:rsidRDefault="003B40DD" w:rsidP="003B40DD">
      <w:r w:rsidRPr="005B3ABD">
        <w:rPr>
          <w:rStyle w:val="HideTWBExt"/>
          <w:noProof w:val="0"/>
          <w:color w:val="auto"/>
        </w:rPr>
        <w:t>&lt;/Amend&gt;</w:t>
      </w:r>
    </w:p>
    <w:p w14:paraId="232CD486"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17</w:t>
      </w:r>
      <w:r w:rsidRPr="005B3ABD">
        <w:rPr>
          <w:rStyle w:val="HideTWBExt"/>
          <w:b w:val="0"/>
          <w:noProof w:val="0"/>
          <w:color w:val="auto"/>
        </w:rPr>
        <w:t>&lt;/NumAm&gt;</w:t>
      </w:r>
    </w:p>
    <w:p w14:paraId="09E1E9AE"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ACE794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b (new)</w:t>
      </w:r>
      <w:r w:rsidRPr="005B3ABD">
        <w:rPr>
          <w:rStyle w:val="HideTWBExt"/>
          <w:b w:val="0"/>
          <w:noProof w:val="0"/>
          <w:color w:val="auto"/>
        </w:rPr>
        <w:t>&lt;/Article&gt;</w:t>
      </w:r>
    </w:p>
    <w:p w14:paraId="1E0E5934"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780E846" w14:textId="77777777" w:rsidR="003B40DD" w:rsidRPr="005B3ABD" w:rsidRDefault="003B40DD" w:rsidP="003B40DD">
      <w:r w:rsidRPr="005B3ABD">
        <w:rPr>
          <w:rStyle w:val="HideTWBExt"/>
          <w:noProof w:val="0"/>
          <w:color w:val="auto"/>
        </w:rPr>
        <w:t>&lt;Article2&gt;</w:t>
      </w:r>
      <w:r w:rsidRPr="005B3ABD">
        <w:t>Article 63 – paragraph 3 – point b</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DE64F2D" w14:textId="77777777" w:rsidTr="00882D36">
        <w:trPr>
          <w:jc w:val="center"/>
        </w:trPr>
        <w:tc>
          <w:tcPr>
            <w:tcW w:w="9752" w:type="dxa"/>
            <w:gridSpan w:val="2"/>
          </w:tcPr>
          <w:p w14:paraId="175B8ABE" w14:textId="77777777" w:rsidR="003B40DD" w:rsidRPr="005B3ABD" w:rsidRDefault="003B40DD" w:rsidP="00882D36">
            <w:pPr>
              <w:keepNext/>
            </w:pPr>
          </w:p>
        </w:tc>
      </w:tr>
      <w:tr w:rsidR="003B40DD" w:rsidRPr="005B3ABD" w14:paraId="7A2F9612" w14:textId="77777777" w:rsidTr="00882D36">
        <w:trPr>
          <w:jc w:val="center"/>
        </w:trPr>
        <w:tc>
          <w:tcPr>
            <w:tcW w:w="4876" w:type="dxa"/>
          </w:tcPr>
          <w:p w14:paraId="77783501" w14:textId="77777777" w:rsidR="003B40DD" w:rsidRPr="005B3ABD" w:rsidRDefault="003B40DD" w:rsidP="00882D36">
            <w:pPr>
              <w:pStyle w:val="ColumnHeading"/>
              <w:keepNext/>
              <w:rPr>
                <w:color w:val="0000FA"/>
              </w:rPr>
            </w:pPr>
            <w:r w:rsidRPr="005B3ABD">
              <w:t>This text</w:t>
            </w:r>
          </w:p>
        </w:tc>
        <w:tc>
          <w:tcPr>
            <w:tcW w:w="4876" w:type="dxa"/>
          </w:tcPr>
          <w:p w14:paraId="59966863" w14:textId="77777777" w:rsidR="003B40DD" w:rsidRPr="005B3ABD" w:rsidRDefault="003B40DD" w:rsidP="00882D36">
            <w:pPr>
              <w:pStyle w:val="ColumnHeading"/>
              <w:keepNext/>
              <w:rPr>
                <w:color w:val="0000F5"/>
              </w:rPr>
            </w:pPr>
            <w:r w:rsidRPr="005B3ABD">
              <w:t>Amendment</w:t>
            </w:r>
          </w:p>
        </w:tc>
      </w:tr>
      <w:tr w:rsidR="003B40DD" w:rsidRPr="005B3ABD" w14:paraId="69F1D448" w14:textId="77777777" w:rsidTr="00882D36">
        <w:trPr>
          <w:jc w:val="center"/>
        </w:trPr>
        <w:tc>
          <w:tcPr>
            <w:tcW w:w="4876" w:type="dxa"/>
          </w:tcPr>
          <w:p w14:paraId="0E9D3743" w14:textId="77777777" w:rsidR="003B40DD" w:rsidRPr="005B3ABD" w:rsidRDefault="003B40DD" w:rsidP="00882D36">
            <w:pPr>
              <w:pStyle w:val="Normal6"/>
              <w:rPr>
                <w:color w:val="0000FA"/>
              </w:rPr>
            </w:pPr>
          </w:p>
        </w:tc>
        <w:tc>
          <w:tcPr>
            <w:tcW w:w="4876" w:type="dxa"/>
          </w:tcPr>
          <w:p w14:paraId="405DCF98" w14:textId="77777777" w:rsidR="003B40DD" w:rsidRPr="005B3ABD" w:rsidRDefault="003B40DD" w:rsidP="00882D36">
            <w:pPr>
              <w:pStyle w:val="Normal6"/>
              <w:rPr>
                <w:color w:val="000005"/>
                <w:szCs w:val="24"/>
              </w:rPr>
            </w:pPr>
            <w:r w:rsidRPr="005B3ABD">
              <w:rPr>
                <w:b/>
                <w:i/>
              </w:rPr>
              <w:t>(5 b)</w:t>
            </w:r>
            <w:r w:rsidRPr="005B3ABD">
              <w:rPr>
                <w:b/>
                <w:i/>
              </w:rPr>
              <w:tab/>
              <w:t>In article 63(3), point b is replaced by the following:</w:t>
            </w:r>
          </w:p>
        </w:tc>
      </w:tr>
      <w:tr w:rsidR="003B40DD" w:rsidRPr="005B3ABD" w14:paraId="5BD40880" w14:textId="77777777" w:rsidTr="00882D36">
        <w:trPr>
          <w:jc w:val="center"/>
        </w:trPr>
        <w:tc>
          <w:tcPr>
            <w:tcW w:w="4876" w:type="dxa"/>
          </w:tcPr>
          <w:p w14:paraId="7D69B4BB" w14:textId="77777777" w:rsidR="003B40DD" w:rsidRPr="005B3ABD" w:rsidRDefault="003B40DD" w:rsidP="00882D36">
            <w:pPr>
              <w:pStyle w:val="Normal6"/>
              <w:rPr>
                <w:color w:val="0000FA"/>
              </w:rPr>
            </w:pPr>
            <w:r w:rsidRPr="005B3ABD">
              <w:t xml:space="preserve">(b) the need to avoid a </w:t>
            </w:r>
            <w:r w:rsidRPr="005B3ABD">
              <w:rPr>
                <w:b/>
                <w:bCs/>
                <w:i/>
                <w:iCs/>
              </w:rPr>
              <w:t>well-demonstrated</w:t>
            </w:r>
            <w:r w:rsidRPr="005B3ABD">
              <w:t xml:space="preserve"> risk of significant devaluation of a particular protected designation of origin or a protected geographical indication.</w:t>
            </w:r>
          </w:p>
        </w:tc>
        <w:tc>
          <w:tcPr>
            <w:tcW w:w="4876" w:type="dxa"/>
          </w:tcPr>
          <w:p w14:paraId="5B475D52" w14:textId="77777777" w:rsidR="003B40DD" w:rsidRPr="005B3ABD" w:rsidRDefault="003B40DD" w:rsidP="00882D36">
            <w:pPr>
              <w:pStyle w:val="Normal6"/>
              <w:rPr>
                <w:szCs w:val="24"/>
              </w:rPr>
            </w:pPr>
            <w:r w:rsidRPr="005B3ABD">
              <w:t>“(b) the need to avoid a risk of significant devaluation of a particular protected designation of origin or a protected geographical indication.</w:t>
            </w:r>
          </w:p>
        </w:tc>
      </w:tr>
    </w:tbl>
    <w:p w14:paraId="7056FE0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45D139C" w14:textId="77777777" w:rsidR="003B40DD" w:rsidRPr="005B3ABD" w:rsidRDefault="003B40DD" w:rsidP="003B40DD">
      <w:pPr>
        <w:pStyle w:val="CrossRef"/>
      </w:pPr>
      <w:r w:rsidRPr="005B3ABD">
        <w:t>(https://eur-lex.europa.eu/legal-content/EN/TXT/?uri=CELEX:32013R1308)</w:t>
      </w:r>
    </w:p>
    <w:p w14:paraId="11C62E4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AE91A46" w14:textId="77777777" w:rsidR="003B40DD" w:rsidRPr="005B3ABD" w:rsidRDefault="003B40DD" w:rsidP="003B40DD">
      <w:pPr>
        <w:pStyle w:val="Normal12Italic"/>
      </w:pPr>
      <w:r w:rsidRPr="005B3ABD">
        <w:t>The current formulation of (b) is difficult to interpret and is clarified and complemented by (c)</w:t>
      </w:r>
    </w:p>
    <w:p w14:paraId="5BA1E524" w14:textId="77777777" w:rsidR="003B40DD" w:rsidRPr="005B3ABD" w:rsidRDefault="003B40DD" w:rsidP="003B40DD">
      <w:r w:rsidRPr="005B3ABD">
        <w:rPr>
          <w:rStyle w:val="HideTWBExt"/>
          <w:noProof w:val="0"/>
          <w:color w:val="auto"/>
        </w:rPr>
        <w:t>&lt;/Amend&gt;</w:t>
      </w:r>
    </w:p>
    <w:p w14:paraId="5A4C5A8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18</w:t>
      </w:r>
      <w:r w:rsidRPr="005B3ABD">
        <w:rPr>
          <w:rStyle w:val="HideTWBExt"/>
          <w:b w:val="0"/>
          <w:noProof w:val="0"/>
          <w:color w:val="auto"/>
        </w:rPr>
        <w:t>&lt;/NumAm&gt;</w:t>
      </w:r>
    </w:p>
    <w:p w14:paraId="3E39127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E85D53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c (new)</w:t>
      </w:r>
      <w:r w:rsidRPr="005B3ABD">
        <w:rPr>
          <w:rStyle w:val="HideTWBExt"/>
          <w:b w:val="0"/>
          <w:noProof w:val="0"/>
          <w:color w:val="auto"/>
        </w:rPr>
        <w:t>&lt;/Article&gt;</w:t>
      </w:r>
    </w:p>
    <w:p w14:paraId="5F50859A"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F2245C1" w14:textId="77777777" w:rsidR="003B40DD" w:rsidRPr="005B3ABD" w:rsidRDefault="003B40DD" w:rsidP="003B40DD">
      <w:r w:rsidRPr="005B3ABD">
        <w:rPr>
          <w:rStyle w:val="HideTWBExt"/>
          <w:noProof w:val="0"/>
          <w:color w:val="auto"/>
        </w:rPr>
        <w:t>&lt;Article2&gt;</w:t>
      </w:r>
      <w:r w:rsidRPr="005B3ABD">
        <w:t>Article 63 – paragraph 3 – point b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49DB585" w14:textId="77777777" w:rsidTr="00882D36">
        <w:trPr>
          <w:jc w:val="center"/>
        </w:trPr>
        <w:tc>
          <w:tcPr>
            <w:tcW w:w="9752" w:type="dxa"/>
            <w:gridSpan w:val="2"/>
          </w:tcPr>
          <w:p w14:paraId="50DACAAA" w14:textId="77777777" w:rsidR="003B40DD" w:rsidRPr="005B3ABD" w:rsidRDefault="003B40DD" w:rsidP="00882D36">
            <w:pPr>
              <w:keepNext/>
            </w:pPr>
          </w:p>
        </w:tc>
      </w:tr>
      <w:tr w:rsidR="003B40DD" w:rsidRPr="005B3ABD" w14:paraId="28F2DF42" w14:textId="77777777" w:rsidTr="00882D36">
        <w:trPr>
          <w:jc w:val="center"/>
        </w:trPr>
        <w:tc>
          <w:tcPr>
            <w:tcW w:w="4876" w:type="dxa"/>
          </w:tcPr>
          <w:p w14:paraId="6149A062" w14:textId="77777777" w:rsidR="003B40DD" w:rsidRPr="005B3ABD" w:rsidRDefault="003B40DD" w:rsidP="00882D36">
            <w:pPr>
              <w:pStyle w:val="ColumnHeading"/>
              <w:keepNext/>
              <w:rPr>
                <w:color w:val="0000FA"/>
              </w:rPr>
            </w:pPr>
            <w:r w:rsidRPr="005B3ABD">
              <w:t>Text proposed by the Commission</w:t>
            </w:r>
          </w:p>
        </w:tc>
        <w:tc>
          <w:tcPr>
            <w:tcW w:w="4876" w:type="dxa"/>
          </w:tcPr>
          <w:p w14:paraId="609AAD2F" w14:textId="77777777" w:rsidR="003B40DD" w:rsidRPr="005B3ABD" w:rsidRDefault="003B40DD" w:rsidP="00882D36">
            <w:pPr>
              <w:pStyle w:val="ColumnHeading"/>
              <w:keepNext/>
              <w:rPr>
                <w:color w:val="0000F5"/>
              </w:rPr>
            </w:pPr>
            <w:r w:rsidRPr="005B3ABD">
              <w:t>Amendment</w:t>
            </w:r>
          </w:p>
        </w:tc>
      </w:tr>
      <w:tr w:rsidR="003B40DD" w:rsidRPr="005B3ABD" w14:paraId="02CF2B68" w14:textId="77777777" w:rsidTr="00882D36">
        <w:trPr>
          <w:jc w:val="center"/>
        </w:trPr>
        <w:tc>
          <w:tcPr>
            <w:tcW w:w="4876" w:type="dxa"/>
          </w:tcPr>
          <w:p w14:paraId="086BB222" w14:textId="77777777" w:rsidR="003B40DD" w:rsidRPr="005B3ABD" w:rsidRDefault="003B40DD" w:rsidP="00882D36">
            <w:pPr>
              <w:pStyle w:val="Normal6"/>
              <w:rPr>
                <w:color w:val="0000FA"/>
              </w:rPr>
            </w:pPr>
          </w:p>
        </w:tc>
        <w:tc>
          <w:tcPr>
            <w:tcW w:w="4876" w:type="dxa"/>
          </w:tcPr>
          <w:p w14:paraId="269D7CF3" w14:textId="77777777" w:rsidR="003B40DD" w:rsidRPr="005B3ABD" w:rsidRDefault="003B40DD" w:rsidP="00882D36">
            <w:pPr>
              <w:pStyle w:val="Normal6"/>
              <w:rPr>
                <w:color w:val="000005"/>
                <w:szCs w:val="24"/>
              </w:rPr>
            </w:pPr>
            <w:r w:rsidRPr="005B3ABD">
              <w:rPr>
                <w:b/>
                <w:i/>
              </w:rPr>
              <w:t>(5 c)</w:t>
            </w:r>
            <w:r w:rsidRPr="005B3ABD">
              <w:rPr>
                <w:b/>
                <w:i/>
              </w:rPr>
              <w:tab/>
              <w:t>In Article 63, paragraph 3, the following point is inserted:</w:t>
            </w:r>
          </w:p>
        </w:tc>
      </w:tr>
      <w:tr w:rsidR="003B40DD" w:rsidRPr="005B3ABD" w14:paraId="7B79CFD5" w14:textId="77777777" w:rsidTr="00882D36">
        <w:trPr>
          <w:jc w:val="center"/>
        </w:trPr>
        <w:tc>
          <w:tcPr>
            <w:tcW w:w="4876" w:type="dxa"/>
          </w:tcPr>
          <w:p w14:paraId="60C0DFF0" w14:textId="77777777" w:rsidR="003B40DD" w:rsidRPr="005B3ABD" w:rsidRDefault="003B40DD" w:rsidP="00882D36">
            <w:pPr>
              <w:pStyle w:val="Normal6"/>
              <w:rPr>
                <w:color w:val="0000FA"/>
              </w:rPr>
            </w:pPr>
          </w:p>
        </w:tc>
        <w:tc>
          <w:tcPr>
            <w:tcW w:w="4876" w:type="dxa"/>
          </w:tcPr>
          <w:p w14:paraId="625BEC01" w14:textId="77777777" w:rsidR="003B40DD" w:rsidRPr="005B3ABD" w:rsidRDefault="003B40DD" w:rsidP="00882D36">
            <w:pPr>
              <w:pStyle w:val="Normal6"/>
              <w:rPr>
                <w:szCs w:val="24"/>
              </w:rPr>
            </w:pPr>
            <w:r w:rsidRPr="005B3ABD">
              <w:rPr>
                <w:b/>
                <w:i/>
              </w:rPr>
              <w:t xml:space="preserve">(b a) the wish to contribute to the development of the products in question while preserving their quality. </w:t>
            </w:r>
            <w:r w:rsidRPr="005B3ABD">
              <w:rPr>
                <w:rFonts w:ascii="MS Gothic" w:hAnsi="MS Gothic"/>
                <w:b/>
                <w:i/>
              </w:rPr>
              <w:t xml:space="preserve">　</w:t>
            </w:r>
          </w:p>
        </w:tc>
      </w:tr>
    </w:tbl>
    <w:p w14:paraId="0B2706A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338150E" w14:textId="77777777" w:rsidR="003B40DD" w:rsidRPr="005B3ABD" w:rsidRDefault="003B40DD" w:rsidP="003B40DD">
      <w:r w:rsidRPr="005B3ABD">
        <w:rPr>
          <w:rStyle w:val="HideTWBExt"/>
          <w:noProof w:val="0"/>
          <w:color w:val="auto"/>
        </w:rPr>
        <w:t>&lt;/Amend&gt;</w:t>
      </w:r>
    </w:p>
    <w:p w14:paraId="31BE28C1"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19</w:t>
      </w:r>
      <w:r w:rsidRPr="005B3ABD">
        <w:rPr>
          <w:rStyle w:val="HideTWBExt"/>
          <w:b w:val="0"/>
          <w:noProof w:val="0"/>
          <w:color w:val="auto"/>
        </w:rPr>
        <w:t>&lt;/NumAm&gt;</w:t>
      </w:r>
    </w:p>
    <w:p w14:paraId="672E46E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563277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d (new)</w:t>
      </w:r>
      <w:r w:rsidRPr="005B3ABD">
        <w:rPr>
          <w:rStyle w:val="HideTWBExt"/>
          <w:b w:val="0"/>
          <w:noProof w:val="0"/>
          <w:color w:val="auto"/>
        </w:rPr>
        <w:t>&lt;/Article&gt;</w:t>
      </w:r>
    </w:p>
    <w:p w14:paraId="77EE03BA"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111EE63" w14:textId="77777777" w:rsidR="003B40DD" w:rsidRPr="005B3ABD" w:rsidRDefault="003B40DD" w:rsidP="003B40DD">
      <w:r w:rsidRPr="005B3ABD">
        <w:rPr>
          <w:rStyle w:val="HideTWBExt"/>
          <w:noProof w:val="0"/>
          <w:color w:val="auto"/>
        </w:rPr>
        <w:t>&lt;Article2&gt;</w:t>
      </w:r>
      <w:r w:rsidRPr="005B3ABD">
        <w:t>Article 64 – paragraph 1 – subparagraph 2 – introductory part</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D0E0874" w14:textId="77777777" w:rsidTr="00882D36">
        <w:trPr>
          <w:jc w:val="center"/>
        </w:trPr>
        <w:tc>
          <w:tcPr>
            <w:tcW w:w="9752" w:type="dxa"/>
            <w:gridSpan w:val="2"/>
          </w:tcPr>
          <w:p w14:paraId="27F2EA2A" w14:textId="77777777" w:rsidR="003B40DD" w:rsidRPr="005B3ABD" w:rsidRDefault="003B40DD" w:rsidP="00882D36">
            <w:pPr>
              <w:keepNext/>
            </w:pPr>
          </w:p>
        </w:tc>
      </w:tr>
      <w:tr w:rsidR="003B40DD" w:rsidRPr="005B3ABD" w14:paraId="05E6E261" w14:textId="77777777" w:rsidTr="00882D36">
        <w:trPr>
          <w:jc w:val="center"/>
        </w:trPr>
        <w:tc>
          <w:tcPr>
            <w:tcW w:w="4876" w:type="dxa"/>
          </w:tcPr>
          <w:p w14:paraId="0E671C27" w14:textId="77777777" w:rsidR="003B40DD" w:rsidRPr="005B3ABD" w:rsidRDefault="003B40DD" w:rsidP="00882D36">
            <w:pPr>
              <w:pStyle w:val="ColumnHeading"/>
              <w:keepNext/>
              <w:rPr>
                <w:color w:val="0000FA"/>
              </w:rPr>
            </w:pPr>
            <w:r w:rsidRPr="005B3ABD">
              <w:t>This text</w:t>
            </w:r>
          </w:p>
        </w:tc>
        <w:tc>
          <w:tcPr>
            <w:tcW w:w="4876" w:type="dxa"/>
          </w:tcPr>
          <w:p w14:paraId="24AFC35F" w14:textId="77777777" w:rsidR="003B40DD" w:rsidRPr="005B3ABD" w:rsidRDefault="003B40DD" w:rsidP="00882D36">
            <w:pPr>
              <w:pStyle w:val="ColumnHeading"/>
              <w:keepNext/>
              <w:rPr>
                <w:color w:val="0000F5"/>
              </w:rPr>
            </w:pPr>
            <w:r w:rsidRPr="005B3ABD">
              <w:t>Amendment</w:t>
            </w:r>
          </w:p>
        </w:tc>
      </w:tr>
      <w:tr w:rsidR="003B40DD" w:rsidRPr="005B3ABD" w14:paraId="132048A8" w14:textId="77777777" w:rsidTr="00882D36">
        <w:trPr>
          <w:jc w:val="center"/>
        </w:trPr>
        <w:tc>
          <w:tcPr>
            <w:tcW w:w="4876" w:type="dxa"/>
          </w:tcPr>
          <w:p w14:paraId="05874A51" w14:textId="77777777" w:rsidR="003B40DD" w:rsidRPr="005B3ABD" w:rsidRDefault="003B40DD" w:rsidP="00882D36">
            <w:pPr>
              <w:pStyle w:val="Normal6"/>
              <w:rPr>
                <w:color w:val="0000FA"/>
              </w:rPr>
            </w:pPr>
          </w:p>
        </w:tc>
        <w:tc>
          <w:tcPr>
            <w:tcW w:w="4876" w:type="dxa"/>
          </w:tcPr>
          <w:p w14:paraId="323AC18F" w14:textId="77777777" w:rsidR="003B40DD" w:rsidRPr="005B3ABD" w:rsidRDefault="003B40DD" w:rsidP="00882D36">
            <w:pPr>
              <w:pStyle w:val="Normal6"/>
              <w:rPr>
                <w:color w:val="000005"/>
                <w:szCs w:val="24"/>
              </w:rPr>
            </w:pPr>
            <w:r w:rsidRPr="005B3ABD">
              <w:rPr>
                <w:b/>
                <w:i/>
              </w:rPr>
              <w:t>(5 d)</w:t>
            </w:r>
            <w:r w:rsidRPr="005B3ABD">
              <w:rPr>
                <w:b/>
                <w:i/>
              </w:rPr>
              <w:tab/>
              <w:t>In the second subparagraph of Article 64(1), the introductory phrase is replaced by the following:</w:t>
            </w:r>
          </w:p>
        </w:tc>
      </w:tr>
      <w:tr w:rsidR="003B40DD" w:rsidRPr="005B3ABD" w14:paraId="789B5F5E" w14:textId="77777777" w:rsidTr="00882D36">
        <w:trPr>
          <w:jc w:val="center"/>
        </w:trPr>
        <w:tc>
          <w:tcPr>
            <w:tcW w:w="4876" w:type="dxa"/>
          </w:tcPr>
          <w:p w14:paraId="58900B9E" w14:textId="77777777" w:rsidR="003B40DD" w:rsidRPr="005B3ABD" w:rsidRDefault="003B40DD" w:rsidP="00882D36">
            <w:pPr>
              <w:pStyle w:val="Normal6"/>
              <w:rPr>
                <w:color w:val="0000FA"/>
              </w:rPr>
            </w:pPr>
            <w:r w:rsidRPr="005B3ABD">
              <w:t>Member States may, for the purpose of this Article, apply one or more of the following objective and non-discriminatory eligibility criteria:</w:t>
            </w:r>
          </w:p>
        </w:tc>
        <w:tc>
          <w:tcPr>
            <w:tcW w:w="4876" w:type="dxa"/>
          </w:tcPr>
          <w:p w14:paraId="291A7F88" w14:textId="77777777" w:rsidR="003B40DD" w:rsidRPr="005B3ABD" w:rsidRDefault="003B40DD" w:rsidP="00882D36">
            <w:pPr>
              <w:pStyle w:val="Normal6"/>
              <w:rPr>
                <w:szCs w:val="24"/>
              </w:rPr>
            </w:pPr>
            <w:r w:rsidRPr="005B3ABD">
              <w:t xml:space="preserve">“Member States may, for the purpose of this Article, </w:t>
            </w:r>
            <w:r w:rsidRPr="005B3ABD">
              <w:rPr>
                <w:b/>
                <w:bCs/>
                <w:i/>
                <w:iCs/>
              </w:rPr>
              <w:t>at a national or regional level</w:t>
            </w:r>
            <w:r w:rsidRPr="005B3ABD">
              <w:rPr>
                <w:b/>
                <w:bCs/>
              </w:rPr>
              <w:t xml:space="preserve"> </w:t>
            </w:r>
            <w:r w:rsidRPr="005B3ABD">
              <w:t>apply one or more of the following objective and non-discriminatory eligibility criteria:”</w:t>
            </w:r>
            <w:r w:rsidRPr="005B3ABD">
              <w:rPr>
                <w:b/>
                <w:i/>
              </w:rPr>
              <w:t xml:space="preserve"> </w:t>
            </w:r>
          </w:p>
        </w:tc>
      </w:tr>
    </w:tbl>
    <w:p w14:paraId="7BA6869E"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E8743C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63FDDD1" w14:textId="77777777" w:rsidR="003B40DD" w:rsidRPr="005B3ABD" w:rsidRDefault="003B40DD" w:rsidP="003B40DD">
      <w:pPr>
        <w:pStyle w:val="Normal12Italic"/>
      </w:pPr>
      <w:r w:rsidRPr="005B3ABD">
        <w:t>In the granting of authorisations for new plantings, Member States can apply eligibility criteria at a national level; the amendment specifies that this can be done at a regional level.</w:t>
      </w:r>
    </w:p>
    <w:p w14:paraId="3B2D816E" w14:textId="77777777" w:rsidR="003B40DD" w:rsidRPr="005B3ABD" w:rsidRDefault="003B40DD" w:rsidP="003B40DD">
      <w:r w:rsidRPr="005B3ABD">
        <w:rPr>
          <w:rStyle w:val="HideTWBExt"/>
          <w:noProof w:val="0"/>
          <w:color w:val="auto"/>
        </w:rPr>
        <w:t>&lt;/Amend&gt;</w:t>
      </w:r>
    </w:p>
    <w:p w14:paraId="17AEE37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20</w:t>
      </w:r>
      <w:r w:rsidRPr="005B3ABD">
        <w:rPr>
          <w:rStyle w:val="HideTWBExt"/>
          <w:b w:val="0"/>
          <w:noProof w:val="0"/>
          <w:color w:val="auto"/>
        </w:rPr>
        <w:t>&lt;/NumAm&gt;</w:t>
      </w:r>
    </w:p>
    <w:p w14:paraId="2B5949A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B6BB4C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e (new)</w:t>
      </w:r>
      <w:r w:rsidRPr="005B3ABD">
        <w:rPr>
          <w:rStyle w:val="HideTWBExt"/>
          <w:b w:val="0"/>
          <w:noProof w:val="0"/>
          <w:color w:val="auto"/>
        </w:rPr>
        <w:t>&lt;/Article&gt;</w:t>
      </w:r>
    </w:p>
    <w:p w14:paraId="0E033513"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C17DA44" w14:textId="77777777" w:rsidR="003B40DD" w:rsidRPr="005B3ABD" w:rsidRDefault="003B40DD" w:rsidP="003B40DD">
      <w:r w:rsidRPr="005B3ABD">
        <w:rPr>
          <w:rStyle w:val="HideTWBExt"/>
          <w:noProof w:val="0"/>
          <w:color w:val="auto"/>
        </w:rPr>
        <w:t>&lt;Article2&gt;</w:t>
      </w:r>
      <w:r w:rsidRPr="005B3ABD">
        <w:t>Article 65 – paragraph 1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ED3903A" w14:textId="77777777" w:rsidTr="00882D36">
        <w:trPr>
          <w:jc w:val="center"/>
        </w:trPr>
        <w:tc>
          <w:tcPr>
            <w:tcW w:w="9752" w:type="dxa"/>
            <w:gridSpan w:val="2"/>
          </w:tcPr>
          <w:p w14:paraId="2A1D3DAB" w14:textId="77777777" w:rsidR="003B40DD" w:rsidRPr="005B3ABD" w:rsidRDefault="003B40DD" w:rsidP="00882D36">
            <w:pPr>
              <w:keepNext/>
            </w:pPr>
          </w:p>
        </w:tc>
      </w:tr>
      <w:tr w:rsidR="003B40DD" w:rsidRPr="005B3ABD" w14:paraId="07DB47B8" w14:textId="77777777" w:rsidTr="00882D36">
        <w:trPr>
          <w:jc w:val="center"/>
        </w:trPr>
        <w:tc>
          <w:tcPr>
            <w:tcW w:w="4876" w:type="dxa"/>
          </w:tcPr>
          <w:p w14:paraId="5550E95F" w14:textId="77777777" w:rsidR="003B40DD" w:rsidRPr="005B3ABD" w:rsidRDefault="003B40DD" w:rsidP="00882D36">
            <w:pPr>
              <w:pStyle w:val="ColumnHeading"/>
              <w:keepNext/>
              <w:rPr>
                <w:color w:val="0000FA"/>
              </w:rPr>
            </w:pPr>
            <w:r w:rsidRPr="005B3ABD">
              <w:t>Text proposed by the Commission</w:t>
            </w:r>
          </w:p>
        </w:tc>
        <w:tc>
          <w:tcPr>
            <w:tcW w:w="4876" w:type="dxa"/>
          </w:tcPr>
          <w:p w14:paraId="1C15B55C" w14:textId="77777777" w:rsidR="003B40DD" w:rsidRPr="005B3ABD" w:rsidRDefault="003B40DD" w:rsidP="00882D36">
            <w:pPr>
              <w:pStyle w:val="ColumnHeading"/>
              <w:keepNext/>
              <w:rPr>
                <w:color w:val="0000F5"/>
              </w:rPr>
            </w:pPr>
            <w:r w:rsidRPr="005B3ABD">
              <w:t>Amendment</w:t>
            </w:r>
          </w:p>
        </w:tc>
      </w:tr>
      <w:tr w:rsidR="003B40DD" w:rsidRPr="005B3ABD" w14:paraId="42702BA8" w14:textId="77777777" w:rsidTr="00882D36">
        <w:trPr>
          <w:jc w:val="center"/>
        </w:trPr>
        <w:tc>
          <w:tcPr>
            <w:tcW w:w="4876" w:type="dxa"/>
          </w:tcPr>
          <w:p w14:paraId="025B014A" w14:textId="77777777" w:rsidR="003B40DD" w:rsidRPr="005B3ABD" w:rsidRDefault="003B40DD" w:rsidP="00882D36">
            <w:pPr>
              <w:pStyle w:val="Normal6"/>
              <w:rPr>
                <w:color w:val="0000FA"/>
              </w:rPr>
            </w:pPr>
          </w:p>
        </w:tc>
        <w:tc>
          <w:tcPr>
            <w:tcW w:w="4876" w:type="dxa"/>
          </w:tcPr>
          <w:p w14:paraId="784D2422" w14:textId="77777777" w:rsidR="003B40DD" w:rsidRPr="005B3ABD" w:rsidRDefault="003B40DD" w:rsidP="00882D36">
            <w:pPr>
              <w:pStyle w:val="Normal6"/>
              <w:rPr>
                <w:color w:val="000005"/>
                <w:szCs w:val="24"/>
              </w:rPr>
            </w:pPr>
            <w:r w:rsidRPr="005B3ABD">
              <w:rPr>
                <w:b/>
                <w:i/>
              </w:rPr>
              <w:t>(5 e)</w:t>
            </w:r>
            <w:r w:rsidRPr="005B3ABD">
              <w:rPr>
                <w:b/>
                <w:i/>
              </w:rPr>
              <w:tab/>
              <w:t>The following subparagraph is inserted in Article 65:</w:t>
            </w:r>
          </w:p>
        </w:tc>
      </w:tr>
      <w:tr w:rsidR="003B40DD" w:rsidRPr="005B3ABD" w14:paraId="3D144460" w14:textId="77777777" w:rsidTr="00882D36">
        <w:trPr>
          <w:jc w:val="center"/>
        </w:trPr>
        <w:tc>
          <w:tcPr>
            <w:tcW w:w="4876" w:type="dxa"/>
          </w:tcPr>
          <w:p w14:paraId="6447ADD0" w14:textId="77777777" w:rsidR="003B40DD" w:rsidRPr="005B3ABD" w:rsidRDefault="003B40DD" w:rsidP="00882D36">
            <w:pPr>
              <w:pStyle w:val="Normal6"/>
              <w:rPr>
                <w:color w:val="0000FA"/>
              </w:rPr>
            </w:pPr>
          </w:p>
        </w:tc>
        <w:tc>
          <w:tcPr>
            <w:tcW w:w="4876" w:type="dxa"/>
          </w:tcPr>
          <w:p w14:paraId="2CE3DFFA" w14:textId="77777777" w:rsidR="003B40DD" w:rsidRPr="005B3ABD" w:rsidRDefault="003B40DD" w:rsidP="00882D36">
            <w:pPr>
              <w:pStyle w:val="Normal6"/>
              <w:rPr>
                <w:szCs w:val="24"/>
              </w:rPr>
            </w:pPr>
            <w:r w:rsidRPr="005B3ABD">
              <w:rPr>
                <w:b/>
                <w:i/>
              </w:rPr>
              <w:t>When applying Article 63(2), a Member State shall establish an official preliminary procedure that enables it to consider the opinions of representative trade organisations recognised at regional level in accordance with the legislation of that Member State.</w:t>
            </w:r>
          </w:p>
        </w:tc>
      </w:tr>
    </w:tbl>
    <w:p w14:paraId="4D8FE67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4889FDF"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2869FC8A" w14:textId="77777777" w:rsidR="003B40DD" w:rsidRPr="005B3ABD" w:rsidRDefault="003B40DD" w:rsidP="003B40DD">
      <w:pPr>
        <w:pStyle w:val="Normal12Italic"/>
      </w:pPr>
      <w:r w:rsidRPr="005B3ABD">
        <w:t>It is important to associate national and regional trade organisations in the authorisation procedure for new plantings provided for in Article 63(2).</w:t>
      </w:r>
    </w:p>
    <w:p w14:paraId="0509FB66" w14:textId="77777777" w:rsidR="003B40DD" w:rsidRPr="005B3ABD" w:rsidRDefault="003B40DD" w:rsidP="003B40DD">
      <w:r w:rsidRPr="005B3ABD">
        <w:rPr>
          <w:rStyle w:val="HideTWBExt"/>
          <w:noProof w:val="0"/>
          <w:color w:val="auto"/>
        </w:rPr>
        <w:t>&lt;/Amend&gt;</w:t>
      </w:r>
    </w:p>
    <w:p w14:paraId="5406312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21</w:t>
      </w:r>
      <w:r w:rsidRPr="005B3ABD">
        <w:rPr>
          <w:rStyle w:val="HideTWBExt"/>
          <w:b w:val="0"/>
          <w:noProof w:val="0"/>
          <w:color w:val="auto"/>
        </w:rPr>
        <w:t>&lt;/NumAm&gt;</w:t>
      </w:r>
    </w:p>
    <w:p w14:paraId="0C9959E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219A7A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f (new)</w:t>
      </w:r>
      <w:r w:rsidRPr="005B3ABD">
        <w:rPr>
          <w:rStyle w:val="HideTWBExt"/>
          <w:b w:val="0"/>
          <w:noProof w:val="0"/>
          <w:color w:val="auto"/>
        </w:rPr>
        <w:t>&lt;/Article&gt;</w:t>
      </w:r>
    </w:p>
    <w:p w14:paraId="5D40FA1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0C66712" w14:textId="77777777" w:rsidR="003B40DD" w:rsidRPr="005B3ABD" w:rsidRDefault="003B40DD" w:rsidP="003B40DD">
      <w:r w:rsidRPr="005B3ABD">
        <w:rPr>
          <w:rStyle w:val="HideTWBExt"/>
          <w:noProof w:val="0"/>
          <w:color w:val="auto"/>
        </w:rPr>
        <w:t>&lt;Article2&gt;</w:t>
      </w:r>
      <w:r w:rsidRPr="005B3ABD">
        <w:t>Article 73</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C893F5A" w14:textId="77777777" w:rsidTr="00882D36">
        <w:trPr>
          <w:jc w:val="center"/>
        </w:trPr>
        <w:tc>
          <w:tcPr>
            <w:tcW w:w="9752" w:type="dxa"/>
            <w:gridSpan w:val="2"/>
          </w:tcPr>
          <w:p w14:paraId="766CF1E8" w14:textId="77777777" w:rsidR="003B40DD" w:rsidRPr="005B3ABD" w:rsidRDefault="003B40DD" w:rsidP="00882D36">
            <w:pPr>
              <w:keepNext/>
            </w:pPr>
          </w:p>
        </w:tc>
      </w:tr>
      <w:tr w:rsidR="003B40DD" w:rsidRPr="005B3ABD" w14:paraId="65DB4BD7" w14:textId="77777777" w:rsidTr="00882D36">
        <w:trPr>
          <w:jc w:val="center"/>
        </w:trPr>
        <w:tc>
          <w:tcPr>
            <w:tcW w:w="4876" w:type="dxa"/>
          </w:tcPr>
          <w:p w14:paraId="48503317" w14:textId="77777777" w:rsidR="003B40DD" w:rsidRPr="005B3ABD" w:rsidRDefault="003B40DD" w:rsidP="00882D36">
            <w:pPr>
              <w:pStyle w:val="ColumnHeading"/>
              <w:keepNext/>
              <w:rPr>
                <w:color w:val="0000FA"/>
              </w:rPr>
            </w:pPr>
            <w:r w:rsidRPr="005B3ABD">
              <w:t>This text</w:t>
            </w:r>
          </w:p>
        </w:tc>
        <w:tc>
          <w:tcPr>
            <w:tcW w:w="4876" w:type="dxa"/>
          </w:tcPr>
          <w:p w14:paraId="47C4D990" w14:textId="77777777" w:rsidR="003B40DD" w:rsidRPr="005B3ABD" w:rsidRDefault="003B40DD" w:rsidP="00882D36">
            <w:pPr>
              <w:pStyle w:val="ColumnHeading"/>
              <w:keepNext/>
              <w:rPr>
                <w:color w:val="0000F5"/>
              </w:rPr>
            </w:pPr>
            <w:r w:rsidRPr="005B3ABD">
              <w:t>Amendment</w:t>
            </w:r>
          </w:p>
        </w:tc>
      </w:tr>
      <w:tr w:rsidR="003B40DD" w:rsidRPr="005B3ABD" w14:paraId="4BA55AE2" w14:textId="77777777" w:rsidTr="00882D36">
        <w:trPr>
          <w:jc w:val="center"/>
        </w:trPr>
        <w:tc>
          <w:tcPr>
            <w:tcW w:w="4876" w:type="dxa"/>
          </w:tcPr>
          <w:p w14:paraId="28F971D7" w14:textId="77777777" w:rsidR="003B40DD" w:rsidRPr="005B3ABD" w:rsidRDefault="003B40DD" w:rsidP="00882D36">
            <w:pPr>
              <w:pStyle w:val="Normal6"/>
              <w:rPr>
                <w:color w:val="0000FA"/>
              </w:rPr>
            </w:pPr>
          </w:p>
        </w:tc>
        <w:tc>
          <w:tcPr>
            <w:tcW w:w="4876" w:type="dxa"/>
          </w:tcPr>
          <w:p w14:paraId="04910CD1" w14:textId="77777777" w:rsidR="003B40DD" w:rsidRPr="005B3ABD" w:rsidRDefault="003B40DD" w:rsidP="00882D36">
            <w:pPr>
              <w:pStyle w:val="Normal6"/>
              <w:rPr>
                <w:color w:val="000005"/>
                <w:szCs w:val="24"/>
              </w:rPr>
            </w:pPr>
            <w:r w:rsidRPr="005B3ABD">
              <w:rPr>
                <w:b/>
                <w:i/>
              </w:rPr>
              <w:t>(5 f)</w:t>
            </w:r>
            <w:r w:rsidRPr="005B3ABD">
              <w:rPr>
                <w:b/>
                <w:i/>
              </w:rPr>
              <w:tab/>
              <w:t>Article 73 is replaced by the following:</w:t>
            </w:r>
          </w:p>
        </w:tc>
      </w:tr>
      <w:tr w:rsidR="003B40DD" w:rsidRPr="005B3ABD" w14:paraId="017658FA" w14:textId="77777777" w:rsidTr="00882D36">
        <w:trPr>
          <w:jc w:val="center"/>
        </w:trPr>
        <w:tc>
          <w:tcPr>
            <w:tcW w:w="4876" w:type="dxa"/>
          </w:tcPr>
          <w:p w14:paraId="219C6958" w14:textId="77777777" w:rsidR="003B40DD" w:rsidRPr="005B3ABD" w:rsidRDefault="003B40DD" w:rsidP="00882D36">
            <w:pPr>
              <w:pStyle w:val="Normal6"/>
              <w:jc w:val="center"/>
              <w:rPr>
                <w:color w:val="0000FA"/>
              </w:rPr>
            </w:pPr>
            <w:r w:rsidRPr="005B3ABD">
              <w:t>Article 73</w:t>
            </w:r>
          </w:p>
        </w:tc>
        <w:tc>
          <w:tcPr>
            <w:tcW w:w="4876" w:type="dxa"/>
          </w:tcPr>
          <w:p w14:paraId="08821543" w14:textId="77777777" w:rsidR="003B40DD" w:rsidRPr="005B3ABD" w:rsidRDefault="003B40DD" w:rsidP="00882D36">
            <w:pPr>
              <w:pStyle w:val="Normal6"/>
              <w:jc w:val="center"/>
              <w:rPr>
                <w:b/>
                <w:i/>
                <w:color w:val="000005"/>
              </w:rPr>
            </w:pPr>
            <w:r w:rsidRPr="005B3ABD">
              <w:t>“Article 73</w:t>
            </w:r>
          </w:p>
        </w:tc>
      </w:tr>
      <w:tr w:rsidR="003B40DD" w:rsidRPr="005B3ABD" w14:paraId="4892F95E" w14:textId="77777777" w:rsidTr="00882D36">
        <w:trPr>
          <w:jc w:val="center"/>
        </w:trPr>
        <w:tc>
          <w:tcPr>
            <w:tcW w:w="4876" w:type="dxa"/>
          </w:tcPr>
          <w:p w14:paraId="344013B0" w14:textId="77777777" w:rsidR="003B40DD" w:rsidRPr="005B3ABD" w:rsidRDefault="003B40DD" w:rsidP="00882D36">
            <w:pPr>
              <w:pStyle w:val="Normal6"/>
              <w:jc w:val="center"/>
              <w:rPr>
                <w:color w:val="0000FA"/>
              </w:rPr>
            </w:pPr>
            <w:r w:rsidRPr="005B3ABD">
              <w:t>Scope</w:t>
            </w:r>
          </w:p>
        </w:tc>
        <w:tc>
          <w:tcPr>
            <w:tcW w:w="4876" w:type="dxa"/>
          </w:tcPr>
          <w:p w14:paraId="19400881" w14:textId="77777777" w:rsidR="003B40DD" w:rsidRPr="005B3ABD" w:rsidRDefault="003B40DD" w:rsidP="00882D36">
            <w:pPr>
              <w:pStyle w:val="Normal6"/>
              <w:jc w:val="center"/>
              <w:rPr>
                <w:color w:val="000005"/>
              </w:rPr>
            </w:pPr>
            <w:r w:rsidRPr="005B3ABD">
              <w:t>Scope</w:t>
            </w:r>
          </w:p>
        </w:tc>
      </w:tr>
      <w:tr w:rsidR="003B40DD" w:rsidRPr="005B3ABD" w14:paraId="05F215AC" w14:textId="77777777" w:rsidTr="00882D36">
        <w:trPr>
          <w:jc w:val="center"/>
        </w:trPr>
        <w:tc>
          <w:tcPr>
            <w:tcW w:w="4876" w:type="dxa"/>
          </w:tcPr>
          <w:p w14:paraId="49756BB1" w14:textId="77777777" w:rsidR="003B40DD" w:rsidRPr="005B3ABD" w:rsidRDefault="003B40DD" w:rsidP="00882D36">
            <w:pPr>
              <w:pStyle w:val="Normal6"/>
              <w:rPr>
                <w:color w:val="0000FA"/>
              </w:rPr>
            </w:pPr>
            <w:r w:rsidRPr="005B3ABD">
              <w:t>Without prejudice to any other provisions applicable to agricultural products, as well as to the provisions adopted in the veterinary, phytosanitary and food sectors to ensure that products comply with hygiene and health standards and to protect animal, plant and human health, this Section lays down the rules concerning marketing standards.</w:t>
            </w:r>
          </w:p>
        </w:tc>
        <w:tc>
          <w:tcPr>
            <w:tcW w:w="4876" w:type="dxa"/>
          </w:tcPr>
          <w:p w14:paraId="38B1540C" w14:textId="77777777" w:rsidR="003B40DD" w:rsidRPr="005B3ABD" w:rsidRDefault="003B40DD" w:rsidP="00882D36">
            <w:pPr>
              <w:pStyle w:val="Normal6"/>
              <w:rPr>
                <w:szCs w:val="24"/>
              </w:rPr>
            </w:pPr>
            <w:r w:rsidRPr="005B3ABD">
              <w:t xml:space="preserve">Without prejudice to any other provisions applicable to agricultural products, as well as to the provisions adopted in the veterinary, phytosanitary and food sectors to ensure that products comply with hygiene and health standards and to protect animal, plant and human health, </w:t>
            </w:r>
            <w:r w:rsidRPr="005B3ABD">
              <w:rPr>
                <w:b/>
                <w:bCs/>
                <w:i/>
                <w:iCs/>
              </w:rPr>
              <w:t>and to ensure fair competition between European producers and producers in third countries,</w:t>
            </w:r>
            <w:r w:rsidRPr="005B3ABD">
              <w:t xml:space="preserve"> this Section lays down the rules concerning marketing standards.</w:t>
            </w:r>
          </w:p>
        </w:tc>
      </w:tr>
    </w:tbl>
    <w:p w14:paraId="33361BA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DCEFFE0" w14:textId="77777777" w:rsidR="003B40DD" w:rsidRPr="005B3ABD" w:rsidRDefault="003B40DD" w:rsidP="003B40DD">
      <w:pPr>
        <w:pStyle w:val="CrossRef"/>
      </w:pPr>
      <w:r w:rsidRPr="005B3ABD">
        <w:t>(https://eur-lex.europa.eu/legal-content/EN/TXT/?uri=CELEX:02013R1308-20180101)</w:t>
      </w:r>
    </w:p>
    <w:p w14:paraId="493B0F0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9BCC43A" w14:textId="77777777" w:rsidR="003B40DD" w:rsidRPr="005B3ABD" w:rsidRDefault="003B40DD" w:rsidP="003B40DD">
      <w:pPr>
        <w:pStyle w:val="Normal12Italic"/>
      </w:pPr>
      <w:r w:rsidRPr="005B3ABD">
        <w:t>The CMO lays down the marketing rules for a large number of products. Products cannot be placed on the EU market without adhering to these rules. These marketing standards must guarantee fair competitive conditions for European producers compared to those of third countries, to ensure the principle of equivalence.</w:t>
      </w:r>
    </w:p>
    <w:p w14:paraId="59C0DDDA" w14:textId="77777777" w:rsidR="003B40DD" w:rsidRPr="005B3ABD" w:rsidRDefault="003B40DD" w:rsidP="003B40DD">
      <w:r w:rsidRPr="005B3ABD">
        <w:rPr>
          <w:rStyle w:val="HideTWBExt"/>
          <w:noProof w:val="0"/>
          <w:color w:val="auto"/>
        </w:rPr>
        <w:t>&lt;/Amend&gt;</w:t>
      </w:r>
    </w:p>
    <w:p w14:paraId="7A57E4B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22</w:t>
      </w:r>
      <w:r w:rsidRPr="005B3ABD">
        <w:rPr>
          <w:rStyle w:val="HideTWBExt"/>
          <w:b w:val="0"/>
          <w:noProof w:val="0"/>
          <w:color w:val="auto"/>
        </w:rPr>
        <w:t>&lt;/NumAm&gt;</w:t>
      </w:r>
    </w:p>
    <w:p w14:paraId="18ED8BF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C1F034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g (new)</w:t>
      </w:r>
      <w:r w:rsidRPr="005B3ABD">
        <w:rPr>
          <w:rStyle w:val="HideTWBExt"/>
          <w:b w:val="0"/>
          <w:noProof w:val="0"/>
          <w:color w:val="auto"/>
        </w:rPr>
        <w:t>&lt;/Article&gt;</w:t>
      </w:r>
    </w:p>
    <w:p w14:paraId="7CCCB8DD" w14:textId="77777777" w:rsidR="003B40DD" w:rsidRPr="005B3ABD" w:rsidRDefault="003B40DD" w:rsidP="003B40DD">
      <w:pPr>
        <w:keepNext/>
      </w:pPr>
      <w:r w:rsidRPr="005B3ABD">
        <w:rPr>
          <w:rStyle w:val="HideTWBExt"/>
          <w:noProof w:val="0"/>
          <w:color w:val="auto"/>
        </w:rPr>
        <w:lastRenderedPageBreak/>
        <w:t>&lt;DocAmend2&gt;</w:t>
      </w:r>
      <w:r w:rsidRPr="005B3ABD">
        <w:t>Regulation (EU) No 1308/2013</w:t>
      </w:r>
      <w:r w:rsidRPr="005B3ABD">
        <w:rPr>
          <w:rStyle w:val="HideTWBExt"/>
          <w:noProof w:val="0"/>
          <w:color w:val="auto"/>
        </w:rPr>
        <w:t>&lt;/DocAmend2&gt;</w:t>
      </w:r>
    </w:p>
    <w:p w14:paraId="54DCF7FC" w14:textId="77777777" w:rsidR="003B40DD" w:rsidRPr="005B3ABD" w:rsidRDefault="003B40DD" w:rsidP="003B40DD">
      <w:r w:rsidRPr="005B3ABD">
        <w:rPr>
          <w:rStyle w:val="HideTWBExt"/>
          <w:noProof w:val="0"/>
          <w:color w:val="auto"/>
        </w:rPr>
        <w:t>&lt;Article2&gt;</w:t>
      </w:r>
      <w:r w:rsidRPr="005B3ABD">
        <w:t>Article 75 – paragraph 1 – point i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F1283B5" w14:textId="77777777" w:rsidTr="00882D36">
        <w:trPr>
          <w:jc w:val="center"/>
        </w:trPr>
        <w:tc>
          <w:tcPr>
            <w:tcW w:w="9752" w:type="dxa"/>
            <w:gridSpan w:val="2"/>
          </w:tcPr>
          <w:p w14:paraId="3C226892" w14:textId="77777777" w:rsidR="003B40DD" w:rsidRPr="005B3ABD" w:rsidRDefault="003B40DD" w:rsidP="00882D36">
            <w:pPr>
              <w:keepNext/>
            </w:pPr>
          </w:p>
        </w:tc>
      </w:tr>
      <w:tr w:rsidR="003B40DD" w:rsidRPr="005B3ABD" w14:paraId="2784043A" w14:textId="77777777" w:rsidTr="00882D36">
        <w:trPr>
          <w:jc w:val="center"/>
        </w:trPr>
        <w:tc>
          <w:tcPr>
            <w:tcW w:w="4876" w:type="dxa"/>
          </w:tcPr>
          <w:p w14:paraId="545361FD" w14:textId="77777777" w:rsidR="003B40DD" w:rsidRPr="005B3ABD" w:rsidRDefault="003B40DD" w:rsidP="00882D36">
            <w:pPr>
              <w:pStyle w:val="ColumnHeading"/>
              <w:keepNext/>
              <w:rPr>
                <w:color w:val="0000FA"/>
              </w:rPr>
            </w:pPr>
            <w:r w:rsidRPr="005B3ABD">
              <w:t>Text proposed by the Commission</w:t>
            </w:r>
          </w:p>
        </w:tc>
        <w:tc>
          <w:tcPr>
            <w:tcW w:w="4876" w:type="dxa"/>
          </w:tcPr>
          <w:p w14:paraId="1DE2F955" w14:textId="77777777" w:rsidR="003B40DD" w:rsidRPr="005B3ABD" w:rsidRDefault="003B40DD" w:rsidP="00882D36">
            <w:pPr>
              <w:pStyle w:val="ColumnHeading"/>
              <w:keepNext/>
              <w:rPr>
                <w:color w:val="0000F5"/>
              </w:rPr>
            </w:pPr>
            <w:r w:rsidRPr="005B3ABD">
              <w:t>Amendment</w:t>
            </w:r>
          </w:p>
        </w:tc>
      </w:tr>
      <w:tr w:rsidR="003B40DD" w:rsidRPr="005B3ABD" w14:paraId="43C1E1EB" w14:textId="77777777" w:rsidTr="00882D36">
        <w:trPr>
          <w:jc w:val="center"/>
        </w:trPr>
        <w:tc>
          <w:tcPr>
            <w:tcW w:w="4876" w:type="dxa"/>
          </w:tcPr>
          <w:p w14:paraId="0EA2F074" w14:textId="77777777" w:rsidR="003B40DD" w:rsidRPr="005B3ABD" w:rsidRDefault="003B40DD" w:rsidP="00882D36">
            <w:pPr>
              <w:pStyle w:val="Normal6"/>
              <w:rPr>
                <w:color w:val="0000FA"/>
              </w:rPr>
            </w:pPr>
          </w:p>
        </w:tc>
        <w:tc>
          <w:tcPr>
            <w:tcW w:w="4876" w:type="dxa"/>
          </w:tcPr>
          <w:p w14:paraId="1BEF3B47" w14:textId="77777777" w:rsidR="003B40DD" w:rsidRPr="005B3ABD" w:rsidRDefault="003B40DD" w:rsidP="00882D36">
            <w:pPr>
              <w:pStyle w:val="Normal6"/>
              <w:rPr>
                <w:color w:val="000005"/>
                <w:szCs w:val="24"/>
              </w:rPr>
            </w:pPr>
            <w:r w:rsidRPr="005B3ABD">
              <w:rPr>
                <w:b/>
                <w:i/>
              </w:rPr>
              <w:t>(5 g)</w:t>
            </w:r>
            <w:r w:rsidRPr="005B3ABD">
              <w:rPr>
                <w:b/>
                <w:i/>
              </w:rPr>
              <w:tab/>
              <w:t>In Article 75, paragraph 1, the following point is inserted:</w:t>
            </w:r>
          </w:p>
        </w:tc>
      </w:tr>
      <w:tr w:rsidR="003B40DD" w:rsidRPr="005B3ABD" w14:paraId="73BA9DC4" w14:textId="77777777" w:rsidTr="00882D36">
        <w:trPr>
          <w:jc w:val="center"/>
        </w:trPr>
        <w:tc>
          <w:tcPr>
            <w:tcW w:w="4876" w:type="dxa"/>
          </w:tcPr>
          <w:p w14:paraId="0004C705" w14:textId="77777777" w:rsidR="003B40DD" w:rsidRPr="005B3ABD" w:rsidRDefault="003B40DD" w:rsidP="00882D36">
            <w:pPr>
              <w:pStyle w:val="Normal6"/>
              <w:rPr>
                <w:color w:val="0000FA"/>
              </w:rPr>
            </w:pPr>
          </w:p>
        </w:tc>
        <w:tc>
          <w:tcPr>
            <w:tcW w:w="4876" w:type="dxa"/>
          </w:tcPr>
          <w:p w14:paraId="5253CBB4" w14:textId="77777777" w:rsidR="003B40DD" w:rsidRPr="005B3ABD" w:rsidRDefault="003B40DD" w:rsidP="00882D36">
            <w:pPr>
              <w:pStyle w:val="Normal6"/>
              <w:rPr>
                <w:szCs w:val="24"/>
              </w:rPr>
            </w:pPr>
            <w:r w:rsidRPr="005B3ABD">
              <w:rPr>
                <w:b/>
                <w:i/>
              </w:rPr>
              <w:t>(i a) beef and veal;</w:t>
            </w:r>
          </w:p>
        </w:tc>
      </w:tr>
    </w:tbl>
    <w:p w14:paraId="59436D0D"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ABB6783"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27ED39F" w14:textId="77777777" w:rsidR="003B40DD" w:rsidRPr="005B3ABD" w:rsidRDefault="003B40DD" w:rsidP="003B40DD">
      <w:pPr>
        <w:pStyle w:val="Normal12Italic"/>
      </w:pPr>
      <w:r w:rsidRPr="005B3ABD">
        <w:t>At present, the beef and veal sector is not included in the list of sectors for which marketing standards can be set.</w:t>
      </w:r>
    </w:p>
    <w:p w14:paraId="66895C17" w14:textId="77777777" w:rsidR="003B40DD" w:rsidRPr="005B3ABD" w:rsidRDefault="003B40DD" w:rsidP="003B40DD">
      <w:r w:rsidRPr="005B3ABD">
        <w:rPr>
          <w:rStyle w:val="HideTWBExt"/>
          <w:noProof w:val="0"/>
          <w:color w:val="auto"/>
        </w:rPr>
        <w:t>&lt;/Amend&gt;</w:t>
      </w:r>
    </w:p>
    <w:p w14:paraId="539C585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23</w:t>
      </w:r>
      <w:r w:rsidRPr="005B3ABD">
        <w:rPr>
          <w:rStyle w:val="HideTWBExt"/>
          <w:b w:val="0"/>
          <w:noProof w:val="0"/>
          <w:color w:val="auto"/>
        </w:rPr>
        <w:t>&lt;/NumAm&gt;</w:t>
      </w:r>
    </w:p>
    <w:p w14:paraId="2FF62B52"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1E8AC3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h (new)</w:t>
      </w:r>
      <w:r w:rsidRPr="005B3ABD">
        <w:rPr>
          <w:rStyle w:val="HideTWBExt"/>
          <w:b w:val="0"/>
          <w:noProof w:val="0"/>
          <w:color w:val="auto"/>
        </w:rPr>
        <w:t>&lt;/Article&gt;</w:t>
      </w:r>
    </w:p>
    <w:p w14:paraId="2623F2D5"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C278CFA" w14:textId="77777777" w:rsidR="003B40DD" w:rsidRPr="005B3ABD" w:rsidRDefault="003B40DD" w:rsidP="003B40DD">
      <w:r w:rsidRPr="005B3ABD">
        <w:rPr>
          <w:rStyle w:val="HideTWBExt"/>
          <w:noProof w:val="0"/>
          <w:color w:val="auto"/>
        </w:rPr>
        <w:t>&lt;Article2&gt;</w:t>
      </w:r>
      <w:r w:rsidRPr="005B3ABD">
        <w:t>Article 75 – paragraph 1 – point i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46E6FCF" w14:textId="77777777" w:rsidTr="00882D36">
        <w:trPr>
          <w:jc w:val="center"/>
        </w:trPr>
        <w:tc>
          <w:tcPr>
            <w:tcW w:w="9752" w:type="dxa"/>
            <w:gridSpan w:val="2"/>
          </w:tcPr>
          <w:p w14:paraId="2458241F" w14:textId="77777777" w:rsidR="003B40DD" w:rsidRPr="005B3ABD" w:rsidRDefault="003B40DD" w:rsidP="00882D36">
            <w:pPr>
              <w:keepNext/>
            </w:pPr>
          </w:p>
        </w:tc>
      </w:tr>
      <w:tr w:rsidR="003B40DD" w:rsidRPr="005B3ABD" w14:paraId="1448DBC2" w14:textId="77777777" w:rsidTr="00882D36">
        <w:trPr>
          <w:jc w:val="center"/>
        </w:trPr>
        <w:tc>
          <w:tcPr>
            <w:tcW w:w="4876" w:type="dxa"/>
          </w:tcPr>
          <w:p w14:paraId="7BC43B07" w14:textId="77777777" w:rsidR="003B40DD" w:rsidRPr="005B3ABD" w:rsidRDefault="003B40DD" w:rsidP="00882D36">
            <w:pPr>
              <w:pStyle w:val="ColumnHeading"/>
              <w:keepNext/>
              <w:rPr>
                <w:color w:val="0000FA"/>
              </w:rPr>
            </w:pPr>
            <w:r w:rsidRPr="005B3ABD">
              <w:t>Text proposed by the Commission</w:t>
            </w:r>
          </w:p>
        </w:tc>
        <w:tc>
          <w:tcPr>
            <w:tcW w:w="4876" w:type="dxa"/>
          </w:tcPr>
          <w:p w14:paraId="32196BC9" w14:textId="77777777" w:rsidR="003B40DD" w:rsidRPr="005B3ABD" w:rsidRDefault="003B40DD" w:rsidP="00882D36">
            <w:pPr>
              <w:pStyle w:val="ColumnHeading"/>
              <w:keepNext/>
              <w:rPr>
                <w:color w:val="0000F5"/>
              </w:rPr>
            </w:pPr>
            <w:r w:rsidRPr="005B3ABD">
              <w:t>Amendment</w:t>
            </w:r>
          </w:p>
        </w:tc>
      </w:tr>
      <w:tr w:rsidR="003B40DD" w:rsidRPr="005B3ABD" w14:paraId="0A119D72" w14:textId="77777777" w:rsidTr="00882D36">
        <w:trPr>
          <w:jc w:val="center"/>
        </w:trPr>
        <w:tc>
          <w:tcPr>
            <w:tcW w:w="4876" w:type="dxa"/>
          </w:tcPr>
          <w:p w14:paraId="4A235DDE" w14:textId="77777777" w:rsidR="003B40DD" w:rsidRPr="005B3ABD" w:rsidRDefault="003B40DD" w:rsidP="00882D36">
            <w:pPr>
              <w:pStyle w:val="Normal6"/>
              <w:rPr>
                <w:color w:val="0000FA"/>
              </w:rPr>
            </w:pPr>
          </w:p>
        </w:tc>
        <w:tc>
          <w:tcPr>
            <w:tcW w:w="4876" w:type="dxa"/>
          </w:tcPr>
          <w:p w14:paraId="49D4F6EC" w14:textId="77777777" w:rsidR="003B40DD" w:rsidRPr="005B3ABD" w:rsidRDefault="003B40DD" w:rsidP="00882D36">
            <w:pPr>
              <w:pStyle w:val="Normal6"/>
              <w:rPr>
                <w:color w:val="000005"/>
                <w:szCs w:val="24"/>
              </w:rPr>
            </w:pPr>
            <w:r w:rsidRPr="005B3ABD">
              <w:rPr>
                <w:b/>
                <w:i/>
              </w:rPr>
              <w:t>(5 h)</w:t>
            </w:r>
            <w:r w:rsidRPr="005B3ABD">
              <w:rPr>
                <w:b/>
                <w:i/>
              </w:rPr>
              <w:tab/>
              <w:t>In Article 75, paragraph 1, the following point is inserted:</w:t>
            </w:r>
          </w:p>
        </w:tc>
      </w:tr>
      <w:tr w:rsidR="003B40DD" w:rsidRPr="005B3ABD" w14:paraId="4BD5E4C3" w14:textId="77777777" w:rsidTr="00882D36">
        <w:trPr>
          <w:jc w:val="center"/>
        </w:trPr>
        <w:tc>
          <w:tcPr>
            <w:tcW w:w="4876" w:type="dxa"/>
          </w:tcPr>
          <w:p w14:paraId="60D1CC7E" w14:textId="77777777" w:rsidR="003B40DD" w:rsidRPr="005B3ABD" w:rsidRDefault="003B40DD" w:rsidP="00882D36">
            <w:pPr>
              <w:pStyle w:val="Normal6"/>
              <w:rPr>
                <w:color w:val="0000FA"/>
              </w:rPr>
            </w:pPr>
          </w:p>
        </w:tc>
        <w:tc>
          <w:tcPr>
            <w:tcW w:w="4876" w:type="dxa"/>
          </w:tcPr>
          <w:p w14:paraId="6B9EF2CF" w14:textId="77777777" w:rsidR="003B40DD" w:rsidRPr="005B3ABD" w:rsidRDefault="003B40DD" w:rsidP="00882D36">
            <w:pPr>
              <w:pStyle w:val="Normal6"/>
              <w:rPr>
                <w:szCs w:val="24"/>
              </w:rPr>
            </w:pPr>
            <w:r w:rsidRPr="005B3ABD">
              <w:rPr>
                <w:b/>
                <w:i/>
              </w:rPr>
              <w:t>(i b) sheepmeat;</w:t>
            </w:r>
            <w:r w:rsidRPr="005B3ABD">
              <w:t xml:space="preserve"> </w:t>
            </w:r>
          </w:p>
        </w:tc>
      </w:tr>
    </w:tbl>
    <w:p w14:paraId="67B5E68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859B324"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43A4DB6" w14:textId="77777777" w:rsidR="003B40DD" w:rsidRPr="005B3ABD" w:rsidRDefault="003B40DD" w:rsidP="003B40DD">
      <w:pPr>
        <w:pStyle w:val="Normal12Italic"/>
      </w:pPr>
      <w:r w:rsidRPr="005B3ABD">
        <w:t>At present, the sheepmeat sector is not included in the list of sectors for which marketing standards can be set.</w:t>
      </w:r>
    </w:p>
    <w:p w14:paraId="3BC40C98" w14:textId="77777777" w:rsidR="003B40DD" w:rsidRPr="005B3ABD" w:rsidRDefault="003B40DD" w:rsidP="003B40DD">
      <w:r w:rsidRPr="005B3ABD">
        <w:rPr>
          <w:rStyle w:val="HideTWBExt"/>
          <w:noProof w:val="0"/>
          <w:color w:val="auto"/>
        </w:rPr>
        <w:t>&lt;/Amend&gt;</w:t>
      </w:r>
    </w:p>
    <w:p w14:paraId="01FB56AA"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24</w:t>
      </w:r>
      <w:r w:rsidRPr="005B3ABD">
        <w:rPr>
          <w:rStyle w:val="HideTWBExt"/>
          <w:b w:val="0"/>
          <w:noProof w:val="0"/>
          <w:color w:val="auto"/>
        </w:rPr>
        <w:t>&lt;/NumAm&gt;</w:t>
      </w:r>
    </w:p>
    <w:p w14:paraId="223862C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831DD15"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i (new)</w:t>
      </w:r>
      <w:r w:rsidRPr="005B3ABD">
        <w:rPr>
          <w:rStyle w:val="HideTWBExt"/>
          <w:b w:val="0"/>
          <w:noProof w:val="0"/>
          <w:color w:val="auto"/>
        </w:rPr>
        <w:t>&lt;/Article&gt;</w:t>
      </w:r>
    </w:p>
    <w:p w14:paraId="5BFB6457"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6454528" w14:textId="77777777" w:rsidR="003B40DD" w:rsidRPr="005B3ABD" w:rsidRDefault="003B40DD" w:rsidP="003B40DD">
      <w:r w:rsidRPr="005B3ABD">
        <w:rPr>
          <w:rStyle w:val="HideTWBExt"/>
          <w:noProof w:val="0"/>
          <w:color w:val="auto"/>
        </w:rPr>
        <w:t>&lt;Article2&gt;</w:t>
      </w:r>
      <w:r w:rsidRPr="005B3ABD">
        <w:t>Article 75 – paragraph 1 – point i c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87FF160" w14:textId="77777777" w:rsidTr="00882D36">
        <w:trPr>
          <w:jc w:val="center"/>
        </w:trPr>
        <w:tc>
          <w:tcPr>
            <w:tcW w:w="9752" w:type="dxa"/>
            <w:gridSpan w:val="2"/>
          </w:tcPr>
          <w:p w14:paraId="3A7AEA6C" w14:textId="77777777" w:rsidR="003B40DD" w:rsidRPr="005B3ABD" w:rsidRDefault="003B40DD" w:rsidP="00882D36">
            <w:pPr>
              <w:keepNext/>
            </w:pPr>
          </w:p>
        </w:tc>
      </w:tr>
      <w:tr w:rsidR="003B40DD" w:rsidRPr="005B3ABD" w14:paraId="72BDD592" w14:textId="77777777" w:rsidTr="00882D36">
        <w:trPr>
          <w:jc w:val="center"/>
        </w:trPr>
        <w:tc>
          <w:tcPr>
            <w:tcW w:w="4876" w:type="dxa"/>
          </w:tcPr>
          <w:p w14:paraId="7F5BB5EE" w14:textId="77777777" w:rsidR="003B40DD" w:rsidRPr="005B3ABD" w:rsidRDefault="003B40DD" w:rsidP="00882D36">
            <w:pPr>
              <w:pStyle w:val="ColumnHeading"/>
              <w:keepNext/>
              <w:rPr>
                <w:color w:val="0000FA"/>
              </w:rPr>
            </w:pPr>
            <w:r w:rsidRPr="005B3ABD">
              <w:t>Text proposed by the Commission</w:t>
            </w:r>
          </w:p>
        </w:tc>
        <w:tc>
          <w:tcPr>
            <w:tcW w:w="4876" w:type="dxa"/>
          </w:tcPr>
          <w:p w14:paraId="7C5F654A" w14:textId="77777777" w:rsidR="003B40DD" w:rsidRPr="005B3ABD" w:rsidRDefault="003B40DD" w:rsidP="00882D36">
            <w:pPr>
              <w:pStyle w:val="ColumnHeading"/>
              <w:keepNext/>
              <w:rPr>
                <w:color w:val="0000F5"/>
              </w:rPr>
            </w:pPr>
            <w:r w:rsidRPr="005B3ABD">
              <w:t>Amendment</w:t>
            </w:r>
          </w:p>
        </w:tc>
      </w:tr>
      <w:tr w:rsidR="003B40DD" w:rsidRPr="005B3ABD" w14:paraId="0A47025E" w14:textId="77777777" w:rsidTr="00882D36">
        <w:trPr>
          <w:jc w:val="center"/>
        </w:trPr>
        <w:tc>
          <w:tcPr>
            <w:tcW w:w="4876" w:type="dxa"/>
          </w:tcPr>
          <w:p w14:paraId="77B72E75" w14:textId="77777777" w:rsidR="003B40DD" w:rsidRPr="005B3ABD" w:rsidRDefault="003B40DD" w:rsidP="00882D36">
            <w:pPr>
              <w:pStyle w:val="Normal6"/>
              <w:rPr>
                <w:color w:val="0000FA"/>
              </w:rPr>
            </w:pPr>
          </w:p>
        </w:tc>
        <w:tc>
          <w:tcPr>
            <w:tcW w:w="4876" w:type="dxa"/>
          </w:tcPr>
          <w:p w14:paraId="497E3869" w14:textId="77777777" w:rsidR="003B40DD" w:rsidRPr="005B3ABD" w:rsidRDefault="003B40DD" w:rsidP="00882D36">
            <w:pPr>
              <w:pStyle w:val="Normal6"/>
              <w:rPr>
                <w:color w:val="000005"/>
                <w:szCs w:val="24"/>
              </w:rPr>
            </w:pPr>
            <w:r w:rsidRPr="005B3ABD">
              <w:rPr>
                <w:b/>
                <w:i/>
              </w:rPr>
              <w:t>(5 i)</w:t>
            </w:r>
            <w:r w:rsidRPr="005B3ABD">
              <w:rPr>
                <w:b/>
                <w:i/>
              </w:rPr>
              <w:tab/>
              <w:t>In Article 75, paragraph 1, the following point is inserted:</w:t>
            </w:r>
          </w:p>
        </w:tc>
      </w:tr>
      <w:tr w:rsidR="003B40DD" w:rsidRPr="005B3ABD" w14:paraId="6B45F8AC" w14:textId="77777777" w:rsidTr="00882D36">
        <w:trPr>
          <w:jc w:val="center"/>
        </w:trPr>
        <w:tc>
          <w:tcPr>
            <w:tcW w:w="4876" w:type="dxa"/>
          </w:tcPr>
          <w:p w14:paraId="61328B0A" w14:textId="77777777" w:rsidR="003B40DD" w:rsidRPr="005B3ABD" w:rsidRDefault="003B40DD" w:rsidP="00882D36">
            <w:pPr>
              <w:pStyle w:val="Normal6"/>
              <w:rPr>
                <w:color w:val="0000FA"/>
              </w:rPr>
            </w:pPr>
          </w:p>
        </w:tc>
        <w:tc>
          <w:tcPr>
            <w:tcW w:w="4876" w:type="dxa"/>
          </w:tcPr>
          <w:p w14:paraId="6B0CF5FE" w14:textId="77777777" w:rsidR="003B40DD" w:rsidRPr="005B3ABD" w:rsidRDefault="003B40DD" w:rsidP="00882D36">
            <w:pPr>
              <w:pStyle w:val="Normal6"/>
              <w:rPr>
                <w:szCs w:val="24"/>
              </w:rPr>
            </w:pPr>
            <w:r w:rsidRPr="005B3ABD">
              <w:rPr>
                <w:b/>
                <w:i/>
              </w:rPr>
              <w:t>(i c) pigmeat;</w:t>
            </w:r>
          </w:p>
        </w:tc>
      </w:tr>
    </w:tbl>
    <w:p w14:paraId="7661D1C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1BA6DEE"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8180FD1" w14:textId="77777777" w:rsidR="003B40DD" w:rsidRPr="005B3ABD" w:rsidRDefault="003B40DD" w:rsidP="003B40DD">
      <w:pPr>
        <w:pStyle w:val="Normal12Italic"/>
      </w:pPr>
      <w:r w:rsidRPr="005B3ABD">
        <w:t>At present, the pigmeat sector is not included in the list of sectors for which marketing standards can be set.</w:t>
      </w:r>
    </w:p>
    <w:p w14:paraId="1E237BED" w14:textId="77777777" w:rsidR="003B40DD" w:rsidRPr="005B3ABD" w:rsidRDefault="003B40DD" w:rsidP="003B40DD">
      <w:r w:rsidRPr="005B3ABD">
        <w:rPr>
          <w:rStyle w:val="HideTWBExt"/>
          <w:noProof w:val="0"/>
          <w:color w:val="auto"/>
        </w:rPr>
        <w:t>&lt;/Amend&gt;</w:t>
      </w:r>
    </w:p>
    <w:p w14:paraId="12B548E7"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25</w:t>
      </w:r>
      <w:r w:rsidRPr="005B3ABD">
        <w:rPr>
          <w:rStyle w:val="HideTWBExt"/>
          <w:b w:val="0"/>
          <w:noProof w:val="0"/>
          <w:color w:val="auto"/>
        </w:rPr>
        <w:t>&lt;/NumAm&gt;</w:t>
      </w:r>
    </w:p>
    <w:p w14:paraId="4FBA74F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F2650FE"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j (new)</w:t>
      </w:r>
      <w:r w:rsidRPr="005B3ABD">
        <w:rPr>
          <w:rStyle w:val="HideTWBExt"/>
          <w:b w:val="0"/>
          <w:noProof w:val="0"/>
          <w:color w:val="auto"/>
        </w:rPr>
        <w:t>&lt;/Article&gt;</w:t>
      </w:r>
    </w:p>
    <w:p w14:paraId="3BFE06A0"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B51069D" w14:textId="77777777" w:rsidR="003B40DD" w:rsidRPr="005B3ABD" w:rsidRDefault="003B40DD" w:rsidP="003B40DD">
      <w:r w:rsidRPr="005B3ABD">
        <w:rPr>
          <w:rStyle w:val="HideTWBExt"/>
          <w:noProof w:val="0"/>
          <w:color w:val="auto"/>
        </w:rPr>
        <w:t>&lt;Article2&gt;</w:t>
      </w:r>
      <w:r w:rsidRPr="005B3ABD">
        <w:t>Article 75 – paragraph 1 – point i d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6391808" w14:textId="77777777" w:rsidTr="00882D36">
        <w:trPr>
          <w:jc w:val="center"/>
        </w:trPr>
        <w:tc>
          <w:tcPr>
            <w:tcW w:w="9752" w:type="dxa"/>
            <w:gridSpan w:val="2"/>
          </w:tcPr>
          <w:p w14:paraId="0E776A63" w14:textId="77777777" w:rsidR="003B40DD" w:rsidRPr="005B3ABD" w:rsidRDefault="003B40DD" w:rsidP="00882D36">
            <w:pPr>
              <w:keepNext/>
            </w:pPr>
          </w:p>
        </w:tc>
      </w:tr>
      <w:tr w:rsidR="003B40DD" w:rsidRPr="005B3ABD" w14:paraId="3A725EDF" w14:textId="77777777" w:rsidTr="00882D36">
        <w:trPr>
          <w:jc w:val="center"/>
        </w:trPr>
        <w:tc>
          <w:tcPr>
            <w:tcW w:w="4876" w:type="dxa"/>
          </w:tcPr>
          <w:p w14:paraId="275BA9FF" w14:textId="77777777" w:rsidR="003B40DD" w:rsidRPr="005B3ABD" w:rsidRDefault="003B40DD" w:rsidP="00882D36">
            <w:pPr>
              <w:pStyle w:val="ColumnHeading"/>
              <w:keepNext/>
              <w:rPr>
                <w:color w:val="0000FA"/>
              </w:rPr>
            </w:pPr>
            <w:r w:rsidRPr="005B3ABD">
              <w:t>Text proposed by the Commission</w:t>
            </w:r>
          </w:p>
        </w:tc>
        <w:tc>
          <w:tcPr>
            <w:tcW w:w="4876" w:type="dxa"/>
          </w:tcPr>
          <w:p w14:paraId="0295733B" w14:textId="77777777" w:rsidR="003B40DD" w:rsidRPr="005B3ABD" w:rsidRDefault="003B40DD" w:rsidP="00882D36">
            <w:pPr>
              <w:pStyle w:val="ColumnHeading"/>
              <w:keepNext/>
              <w:rPr>
                <w:color w:val="0000F5"/>
              </w:rPr>
            </w:pPr>
            <w:r w:rsidRPr="005B3ABD">
              <w:t>Amendment</w:t>
            </w:r>
          </w:p>
        </w:tc>
      </w:tr>
      <w:tr w:rsidR="003B40DD" w:rsidRPr="005B3ABD" w14:paraId="77768886" w14:textId="77777777" w:rsidTr="00882D36">
        <w:trPr>
          <w:jc w:val="center"/>
        </w:trPr>
        <w:tc>
          <w:tcPr>
            <w:tcW w:w="4876" w:type="dxa"/>
          </w:tcPr>
          <w:p w14:paraId="50AE72F2" w14:textId="77777777" w:rsidR="003B40DD" w:rsidRPr="005B3ABD" w:rsidRDefault="003B40DD" w:rsidP="00882D36">
            <w:pPr>
              <w:pStyle w:val="Normal6"/>
              <w:rPr>
                <w:color w:val="0000FA"/>
              </w:rPr>
            </w:pPr>
          </w:p>
        </w:tc>
        <w:tc>
          <w:tcPr>
            <w:tcW w:w="4876" w:type="dxa"/>
          </w:tcPr>
          <w:p w14:paraId="4F7C87E7" w14:textId="77777777" w:rsidR="003B40DD" w:rsidRPr="005B3ABD" w:rsidRDefault="003B40DD" w:rsidP="00882D36">
            <w:pPr>
              <w:pStyle w:val="Normal6"/>
              <w:rPr>
                <w:color w:val="000005"/>
                <w:szCs w:val="24"/>
              </w:rPr>
            </w:pPr>
            <w:r w:rsidRPr="005B3ABD">
              <w:rPr>
                <w:b/>
                <w:i/>
              </w:rPr>
              <w:t>(5 j)</w:t>
            </w:r>
            <w:r w:rsidRPr="005B3ABD">
              <w:rPr>
                <w:b/>
                <w:i/>
              </w:rPr>
              <w:tab/>
              <w:t>In Article 75, paragraph 1, the following point is inserted:</w:t>
            </w:r>
          </w:p>
        </w:tc>
      </w:tr>
      <w:tr w:rsidR="003B40DD" w:rsidRPr="005B3ABD" w14:paraId="1D8258E0" w14:textId="77777777" w:rsidTr="00882D36">
        <w:trPr>
          <w:jc w:val="center"/>
        </w:trPr>
        <w:tc>
          <w:tcPr>
            <w:tcW w:w="4876" w:type="dxa"/>
          </w:tcPr>
          <w:p w14:paraId="19607431" w14:textId="77777777" w:rsidR="003B40DD" w:rsidRPr="005B3ABD" w:rsidRDefault="003B40DD" w:rsidP="00882D36">
            <w:pPr>
              <w:pStyle w:val="Normal6"/>
              <w:rPr>
                <w:color w:val="0000FA"/>
              </w:rPr>
            </w:pPr>
          </w:p>
        </w:tc>
        <w:tc>
          <w:tcPr>
            <w:tcW w:w="4876" w:type="dxa"/>
          </w:tcPr>
          <w:p w14:paraId="24564ADA" w14:textId="77777777" w:rsidR="003B40DD" w:rsidRPr="005B3ABD" w:rsidRDefault="003B40DD" w:rsidP="00882D36">
            <w:pPr>
              <w:pStyle w:val="Normal6"/>
              <w:rPr>
                <w:szCs w:val="24"/>
              </w:rPr>
            </w:pPr>
            <w:r w:rsidRPr="005B3ABD">
              <w:rPr>
                <w:b/>
                <w:i/>
              </w:rPr>
              <w:t>(i d) milk and milk products.</w:t>
            </w:r>
          </w:p>
        </w:tc>
      </w:tr>
    </w:tbl>
    <w:p w14:paraId="2C984E6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A03EA9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34C1074" w14:textId="77777777" w:rsidR="003B40DD" w:rsidRPr="005B3ABD" w:rsidRDefault="003B40DD" w:rsidP="003B40DD">
      <w:pPr>
        <w:pStyle w:val="Normal12Italic"/>
      </w:pPr>
      <w:r w:rsidRPr="005B3ABD">
        <w:t>At present, the milk and milk products sector is not included in the list of sectors for which marketing standards can be set.</w:t>
      </w:r>
    </w:p>
    <w:p w14:paraId="08200B4F" w14:textId="77777777" w:rsidR="003B40DD" w:rsidRPr="005B3ABD" w:rsidRDefault="003B40DD" w:rsidP="003B40DD">
      <w:r w:rsidRPr="005B3ABD">
        <w:rPr>
          <w:rStyle w:val="HideTWBExt"/>
          <w:noProof w:val="0"/>
          <w:color w:val="auto"/>
        </w:rPr>
        <w:t>&lt;/Amend&gt;</w:t>
      </w:r>
    </w:p>
    <w:p w14:paraId="1886A2E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26</w:t>
      </w:r>
      <w:r w:rsidRPr="005B3ABD">
        <w:rPr>
          <w:rStyle w:val="HideTWBExt"/>
          <w:b w:val="0"/>
          <w:noProof w:val="0"/>
          <w:color w:val="auto"/>
        </w:rPr>
        <w:t>&lt;/NumAm&gt;</w:t>
      </w:r>
    </w:p>
    <w:p w14:paraId="0024ED1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3A8250F"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k (new)</w:t>
      </w:r>
      <w:r w:rsidRPr="005B3ABD">
        <w:rPr>
          <w:rStyle w:val="HideTWBExt"/>
          <w:b w:val="0"/>
          <w:noProof w:val="0"/>
          <w:color w:val="auto"/>
        </w:rPr>
        <w:t>&lt;/Article&gt;</w:t>
      </w:r>
    </w:p>
    <w:p w14:paraId="04A26F8B"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669DE71C" w14:textId="77777777" w:rsidR="003B40DD" w:rsidRPr="005B3ABD" w:rsidRDefault="003B40DD" w:rsidP="003B40DD">
      <w:r w:rsidRPr="005B3ABD">
        <w:rPr>
          <w:rStyle w:val="HideTWBExt"/>
          <w:noProof w:val="0"/>
          <w:color w:val="auto"/>
        </w:rPr>
        <w:t>&lt;Article2&gt;</w:t>
      </w:r>
      <w:r w:rsidRPr="005B3ABD">
        <w:t>Article 75 – paragraph 3 – point g</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7C551A9" w14:textId="77777777" w:rsidTr="00882D36">
        <w:trPr>
          <w:jc w:val="center"/>
        </w:trPr>
        <w:tc>
          <w:tcPr>
            <w:tcW w:w="9752" w:type="dxa"/>
            <w:gridSpan w:val="2"/>
          </w:tcPr>
          <w:p w14:paraId="52B7FF2D" w14:textId="77777777" w:rsidR="003B40DD" w:rsidRPr="005B3ABD" w:rsidRDefault="003B40DD" w:rsidP="00882D36">
            <w:pPr>
              <w:keepNext/>
            </w:pPr>
          </w:p>
        </w:tc>
      </w:tr>
      <w:tr w:rsidR="003B40DD" w:rsidRPr="005B3ABD" w14:paraId="2948A01C" w14:textId="77777777" w:rsidTr="00882D36">
        <w:trPr>
          <w:jc w:val="center"/>
        </w:trPr>
        <w:tc>
          <w:tcPr>
            <w:tcW w:w="4876" w:type="dxa"/>
          </w:tcPr>
          <w:p w14:paraId="67DACB4F" w14:textId="77777777" w:rsidR="003B40DD" w:rsidRPr="005B3ABD" w:rsidRDefault="003B40DD" w:rsidP="00882D36">
            <w:pPr>
              <w:pStyle w:val="ColumnHeading"/>
              <w:keepNext/>
              <w:rPr>
                <w:color w:val="0000FA"/>
              </w:rPr>
            </w:pPr>
            <w:r w:rsidRPr="005B3ABD">
              <w:t>This text</w:t>
            </w:r>
          </w:p>
        </w:tc>
        <w:tc>
          <w:tcPr>
            <w:tcW w:w="4876" w:type="dxa"/>
          </w:tcPr>
          <w:p w14:paraId="4FB68CE9" w14:textId="77777777" w:rsidR="003B40DD" w:rsidRPr="005B3ABD" w:rsidRDefault="003B40DD" w:rsidP="00882D36">
            <w:pPr>
              <w:pStyle w:val="ColumnHeading"/>
              <w:keepNext/>
              <w:rPr>
                <w:color w:val="0000F5"/>
              </w:rPr>
            </w:pPr>
            <w:r w:rsidRPr="005B3ABD">
              <w:t>Amendment</w:t>
            </w:r>
          </w:p>
        </w:tc>
      </w:tr>
      <w:tr w:rsidR="003B40DD" w:rsidRPr="005B3ABD" w14:paraId="67AFAD02" w14:textId="77777777" w:rsidTr="00882D36">
        <w:trPr>
          <w:jc w:val="center"/>
        </w:trPr>
        <w:tc>
          <w:tcPr>
            <w:tcW w:w="4876" w:type="dxa"/>
          </w:tcPr>
          <w:p w14:paraId="6233275D" w14:textId="77777777" w:rsidR="003B40DD" w:rsidRPr="005B3ABD" w:rsidRDefault="003B40DD" w:rsidP="00882D36">
            <w:pPr>
              <w:pStyle w:val="Normal6"/>
              <w:rPr>
                <w:color w:val="0000FA"/>
              </w:rPr>
            </w:pPr>
          </w:p>
        </w:tc>
        <w:tc>
          <w:tcPr>
            <w:tcW w:w="4876" w:type="dxa"/>
          </w:tcPr>
          <w:p w14:paraId="5F7A08C7" w14:textId="77777777" w:rsidR="003B40DD" w:rsidRPr="005B3ABD" w:rsidRDefault="003B40DD" w:rsidP="00882D36">
            <w:pPr>
              <w:pStyle w:val="Normal6"/>
              <w:rPr>
                <w:color w:val="000005"/>
                <w:szCs w:val="24"/>
              </w:rPr>
            </w:pPr>
            <w:r w:rsidRPr="005B3ABD">
              <w:rPr>
                <w:b/>
                <w:i/>
              </w:rPr>
              <w:t>(5 k)</w:t>
            </w:r>
            <w:r w:rsidRPr="005B3ABD">
              <w:rPr>
                <w:b/>
                <w:i/>
              </w:rPr>
              <w:tab/>
              <w:t>in Article 75(4), point (g) is replaced by the following:</w:t>
            </w:r>
          </w:p>
        </w:tc>
      </w:tr>
      <w:tr w:rsidR="003B40DD" w:rsidRPr="005B3ABD" w14:paraId="7F53B394" w14:textId="77777777" w:rsidTr="00882D36">
        <w:trPr>
          <w:jc w:val="center"/>
        </w:trPr>
        <w:tc>
          <w:tcPr>
            <w:tcW w:w="4876" w:type="dxa"/>
          </w:tcPr>
          <w:p w14:paraId="598D0316" w14:textId="77777777" w:rsidR="003B40DD" w:rsidRPr="005B3ABD" w:rsidRDefault="003B40DD" w:rsidP="00882D36">
            <w:pPr>
              <w:pStyle w:val="Normal6"/>
              <w:rPr>
                <w:color w:val="0000FA"/>
              </w:rPr>
            </w:pPr>
            <w:r w:rsidRPr="005B3ABD">
              <w:lastRenderedPageBreak/>
              <w:t>(g) the type of farming and production method including oenological practices and advanced systems of sustainable production;</w:t>
            </w:r>
          </w:p>
        </w:tc>
        <w:tc>
          <w:tcPr>
            <w:tcW w:w="4876" w:type="dxa"/>
          </w:tcPr>
          <w:p w14:paraId="11BC4946" w14:textId="77777777" w:rsidR="003B40DD" w:rsidRPr="005B3ABD" w:rsidRDefault="003B40DD" w:rsidP="00882D36">
            <w:pPr>
              <w:pStyle w:val="Normal6"/>
              <w:rPr>
                <w:szCs w:val="24"/>
              </w:rPr>
            </w:pPr>
            <w:r w:rsidRPr="005B3ABD">
              <w:t>“(g) the type of farming and production method including oenological practices</w:t>
            </w:r>
            <w:r w:rsidRPr="005B3ABD">
              <w:rPr>
                <w:b/>
                <w:bCs/>
                <w:i/>
                <w:iCs/>
              </w:rPr>
              <w:t>, animal feeding practices</w:t>
            </w:r>
            <w:r w:rsidRPr="005B3ABD">
              <w:t xml:space="preserve"> and advanced systems of sustainable production;”</w:t>
            </w:r>
            <w:r w:rsidRPr="005B3ABD">
              <w:rPr>
                <w:b/>
                <w:i/>
              </w:rPr>
              <w:t xml:space="preserve"> </w:t>
            </w:r>
          </w:p>
        </w:tc>
      </w:tr>
    </w:tbl>
    <w:p w14:paraId="491D3AF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16BD580" w14:textId="77777777" w:rsidR="003B40DD" w:rsidRPr="005B3ABD" w:rsidRDefault="003B40DD" w:rsidP="003B40DD">
      <w:pPr>
        <w:pStyle w:val="CrossRef"/>
      </w:pPr>
      <w:r w:rsidRPr="005B3ABD">
        <w:t>(https://eur-lex.europa.eu/legal-content/EN/TXT/?uri=CELEX:02013R1308-20180101)</w:t>
      </w:r>
    </w:p>
    <w:p w14:paraId="20EA32B8"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3A87E8E" w14:textId="77777777" w:rsidR="003B40DD" w:rsidRPr="005B3ABD" w:rsidRDefault="003B40DD" w:rsidP="003B40DD">
      <w:pPr>
        <w:pStyle w:val="Normal12Italic"/>
      </w:pPr>
      <w:r w:rsidRPr="005B3ABD">
        <w:t>Marketing practices can also apply to the way animals are fed.</w:t>
      </w:r>
    </w:p>
    <w:p w14:paraId="020BFE65" w14:textId="77777777" w:rsidR="003B40DD" w:rsidRPr="005B3ABD" w:rsidRDefault="003B40DD" w:rsidP="003B40DD">
      <w:r w:rsidRPr="005B3ABD">
        <w:rPr>
          <w:rStyle w:val="HideTWBExt"/>
          <w:noProof w:val="0"/>
          <w:color w:val="auto"/>
        </w:rPr>
        <w:t>&lt;/Amend&gt;</w:t>
      </w:r>
    </w:p>
    <w:p w14:paraId="1DFC9ACB"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27</w:t>
      </w:r>
      <w:r w:rsidRPr="005B3ABD">
        <w:rPr>
          <w:rStyle w:val="HideTWBExt"/>
          <w:b w:val="0"/>
          <w:noProof w:val="0"/>
          <w:color w:val="auto"/>
        </w:rPr>
        <w:t>&lt;/NumAm&gt;</w:t>
      </w:r>
    </w:p>
    <w:p w14:paraId="7ECB248D"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246280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5 l (new)</w:t>
      </w:r>
      <w:r w:rsidRPr="005B3ABD">
        <w:rPr>
          <w:rStyle w:val="HideTWBExt"/>
          <w:b w:val="0"/>
          <w:noProof w:val="0"/>
          <w:color w:val="auto"/>
        </w:rPr>
        <w:t>&lt;/Article&gt;</w:t>
      </w:r>
    </w:p>
    <w:p w14:paraId="6879DF6B"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67CEE07" w14:textId="77777777" w:rsidR="003B40DD" w:rsidRPr="005B3ABD" w:rsidRDefault="003B40DD" w:rsidP="003B40DD">
      <w:r w:rsidRPr="005B3ABD">
        <w:rPr>
          <w:rStyle w:val="HideTWBExt"/>
          <w:noProof w:val="0"/>
          <w:color w:val="auto"/>
        </w:rPr>
        <w:t>&lt;Article2&gt;</w:t>
      </w:r>
      <w:r w:rsidRPr="005B3ABD">
        <w:t>Article 75 – paragraph 3 – point j</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4CE30A4" w14:textId="77777777" w:rsidTr="00882D36">
        <w:trPr>
          <w:jc w:val="center"/>
        </w:trPr>
        <w:tc>
          <w:tcPr>
            <w:tcW w:w="9752" w:type="dxa"/>
            <w:gridSpan w:val="2"/>
          </w:tcPr>
          <w:p w14:paraId="21C45A70" w14:textId="77777777" w:rsidR="003B40DD" w:rsidRPr="005B3ABD" w:rsidRDefault="003B40DD" w:rsidP="00882D36">
            <w:pPr>
              <w:keepNext/>
            </w:pPr>
          </w:p>
        </w:tc>
      </w:tr>
      <w:tr w:rsidR="003B40DD" w:rsidRPr="005B3ABD" w14:paraId="73B94942" w14:textId="77777777" w:rsidTr="00882D36">
        <w:trPr>
          <w:jc w:val="center"/>
        </w:trPr>
        <w:tc>
          <w:tcPr>
            <w:tcW w:w="4876" w:type="dxa"/>
          </w:tcPr>
          <w:p w14:paraId="752CAEA9" w14:textId="77777777" w:rsidR="003B40DD" w:rsidRPr="005B3ABD" w:rsidRDefault="003B40DD" w:rsidP="00882D36">
            <w:pPr>
              <w:pStyle w:val="ColumnHeading"/>
              <w:keepNext/>
              <w:rPr>
                <w:color w:val="0000FA"/>
              </w:rPr>
            </w:pPr>
            <w:r w:rsidRPr="005B3ABD">
              <w:t>This text</w:t>
            </w:r>
          </w:p>
        </w:tc>
        <w:tc>
          <w:tcPr>
            <w:tcW w:w="4876" w:type="dxa"/>
          </w:tcPr>
          <w:p w14:paraId="4E35743E" w14:textId="77777777" w:rsidR="003B40DD" w:rsidRPr="005B3ABD" w:rsidRDefault="003B40DD" w:rsidP="00882D36">
            <w:pPr>
              <w:pStyle w:val="ColumnHeading"/>
              <w:keepNext/>
              <w:rPr>
                <w:color w:val="0000F5"/>
              </w:rPr>
            </w:pPr>
            <w:r w:rsidRPr="005B3ABD">
              <w:t>Amendment</w:t>
            </w:r>
          </w:p>
        </w:tc>
      </w:tr>
      <w:tr w:rsidR="003B40DD" w:rsidRPr="005B3ABD" w14:paraId="0194CF98" w14:textId="77777777" w:rsidTr="00882D36">
        <w:trPr>
          <w:jc w:val="center"/>
        </w:trPr>
        <w:tc>
          <w:tcPr>
            <w:tcW w:w="4876" w:type="dxa"/>
          </w:tcPr>
          <w:p w14:paraId="263C67E8" w14:textId="77777777" w:rsidR="003B40DD" w:rsidRPr="005B3ABD" w:rsidRDefault="003B40DD" w:rsidP="00882D36">
            <w:pPr>
              <w:pStyle w:val="Normal6"/>
              <w:rPr>
                <w:color w:val="0000FA"/>
              </w:rPr>
            </w:pPr>
          </w:p>
        </w:tc>
        <w:tc>
          <w:tcPr>
            <w:tcW w:w="4876" w:type="dxa"/>
          </w:tcPr>
          <w:p w14:paraId="766AFDBA" w14:textId="77777777" w:rsidR="003B40DD" w:rsidRPr="005B3ABD" w:rsidRDefault="003B40DD" w:rsidP="00882D36">
            <w:pPr>
              <w:pStyle w:val="Normal6"/>
              <w:rPr>
                <w:color w:val="000005"/>
                <w:szCs w:val="24"/>
              </w:rPr>
            </w:pPr>
            <w:r w:rsidRPr="005B3ABD">
              <w:rPr>
                <w:b/>
                <w:i/>
              </w:rPr>
              <w:t>(5 l)</w:t>
            </w:r>
            <w:r w:rsidRPr="005B3ABD">
              <w:rPr>
                <w:b/>
                <w:i/>
              </w:rPr>
              <w:tab/>
              <w:t>In Article 75(3), point (j) is replaced by the following:</w:t>
            </w:r>
          </w:p>
        </w:tc>
      </w:tr>
      <w:tr w:rsidR="003B40DD" w:rsidRPr="005B3ABD" w14:paraId="66CF392A" w14:textId="77777777" w:rsidTr="00882D36">
        <w:trPr>
          <w:jc w:val="center"/>
        </w:trPr>
        <w:tc>
          <w:tcPr>
            <w:tcW w:w="4876" w:type="dxa"/>
          </w:tcPr>
          <w:p w14:paraId="44ECB9FC" w14:textId="77777777" w:rsidR="003B40DD" w:rsidRPr="005B3ABD" w:rsidRDefault="003B40DD" w:rsidP="00882D36">
            <w:pPr>
              <w:pStyle w:val="Normal6"/>
              <w:rPr>
                <w:color w:val="0000FA"/>
              </w:rPr>
            </w:pPr>
            <w:r w:rsidRPr="005B3ABD">
              <w:t>(j) the place of farming and/or origin</w:t>
            </w:r>
            <w:r w:rsidRPr="005B3ABD">
              <w:rPr>
                <w:b/>
                <w:bCs/>
                <w:i/>
                <w:iCs/>
              </w:rPr>
              <w:t>, excluding poultrymeat and spreadable fats</w:t>
            </w:r>
            <w:r w:rsidRPr="005B3ABD">
              <w:t>;</w:t>
            </w:r>
          </w:p>
        </w:tc>
        <w:tc>
          <w:tcPr>
            <w:tcW w:w="4876" w:type="dxa"/>
          </w:tcPr>
          <w:p w14:paraId="48A7C221" w14:textId="77777777" w:rsidR="003B40DD" w:rsidRPr="005B3ABD" w:rsidRDefault="003B40DD" w:rsidP="00882D36">
            <w:pPr>
              <w:pStyle w:val="Normal6"/>
              <w:rPr>
                <w:szCs w:val="24"/>
              </w:rPr>
            </w:pPr>
            <w:r w:rsidRPr="005B3ABD">
              <w:t>“(j) the place of farming and/or origin;”</w:t>
            </w:r>
          </w:p>
        </w:tc>
      </w:tr>
    </w:tbl>
    <w:p w14:paraId="36D0DD8B"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5CFFCCF" w14:textId="77777777" w:rsidR="003B40DD" w:rsidRPr="005B3ABD" w:rsidRDefault="003B40DD" w:rsidP="003B40DD">
      <w:pPr>
        <w:pStyle w:val="CrossRef"/>
      </w:pPr>
      <w:r w:rsidRPr="005B3ABD">
        <w:t>(https://eur-lex.europa.eu/legal-content/EN/TXT/?uri=CELEX:02013R1308-20180101)</w:t>
      </w:r>
    </w:p>
    <w:p w14:paraId="1722467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8F66F6B" w14:textId="77777777" w:rsidR="003B40DD" w:rsidRPr="005B3ABD" w:rsidRDefault="003B40DD" w:rsidP="003B40DD">
      <w:pPr>
        <w:pStyle w:val="Normal12Italic"/>
      </w:pPr>
      <w:r w:rsidRPr="005B3ABD">
        <w:t>Consumers in the EU increasingly expect to be informed of the place of farming and the origin of the products they buy.</w:t>
      </w:r>
    </w:p>
    <w:p w14:paraId="411D1F15" w14:textId="77777777" w:rsidR="003B40DD" w:rsidRPr="005B3ABD" w:rsidRDefault="003B40DD" w:rsidP="003B40DD">
      <w:r w:rsidRPr="005B3ABD">
        <w:rPr>
          <w:rStyle w:val="HideTWBExt"/>
          <w:noProof w:val="0"/>
          <w:color w:val="auto"/>
        </w:rPr>
        <w:t>&lt;/Amend&gt;</w:t>
      </w:r>
    </w:p>
    <w:p w14:paraId="3495C19A"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28</w:t>
      </w:r>
      <w:r w:rsidRPr="005B3ABD">
        <w:rPr>
          <w:rStyle w:val="HideTWBExt"/>
          <w:b w:val="0"/>
          <w:noProof w:val="0"/>
          <w:color w:val="auto"/>
        </w:rPr>
        <w:t>&lt;/NumAm&gt;</w:t>
      </w:r>
    </w:p>
    <w:p w14:paraId="70310D1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4D0AEAF"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 m (new)</w:t>
      </w:r>
      <w:r w:rsidRPr="005B3ABD">
        <w:rPr>
          <w:rStyle w:val="HideTWBExt"/>
          <w:b w:val="0"/>
          <w:noProof w:val="0"/>
          <w:color w:val="auto"/>
        </w:rPr>
        <w:t>&lt;/Article&gt;</w:t>
      </w:r>
    </w:p>
    <w:p w14:paraId="74CA3C5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D7B0FB0" w14:textId="77777777" w:rsidR="003B40DD" w:rsidRPr="005B3ABD" w:rsidRDefault="003B40DD" w:rsidP="003B40DD">
      <w:r w:rsidRPr="005B3ABD">
        <w:rPr>
          <w:rStyle w:val="HideTWBExt"/>
          <w:noProof w:val="0"/>
          <w:color w:val="auto"/>
        </w:rPr>
        <w:t>&lt;Article2&gt;</w:t>
      </w:r>
      <w:r w:rsidRPr="005B3ABD">
        <w:t>Article 75 – paragraph 3 – point m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3FAF763" w14:textId="77777777" w:rsidTr="00882D36">
        <w:trPr>
          <w:jc w:val="center"/>
        </w:trPr>
        <w:tc>
          <w:tcPr>
            <w:tcW w:w="9752" w:type="dxa"/>
            <w:gridSpan w:val="2"/>
          </w:tcPr>
          <w:p w14:paraId="45157A20" w14:textId="77777777" w:rsidR="003B40DD" w:rsidRPr="005B3ABD" w:rsidRDefault="003B40DD" w:rsidP="00882D36">
            <w:pPr>
              <w:keepNext/>
            </w:pPr>
          </w:p>
        </w:tc>
      </w:tr>
      <w:tr w:rsidR="003B40DD" w:rsidRPr="005B3ABD" w14:paraId="6331B8B8" w14:textId="77777777" w:rsidTr="00882D36">
        <w:trPr>
          <w:jc w:val="center"/>
        </w:trPr>
        <w:tc>
          <w:tcPr>
            <w:tcW w:w="4876" w:type="dxa"/>
          </w:tcPr>
          <w:p w14:paraId="2DF18208" w14:textId="77777777" w:rsidR="003B40DD" w:rsidRPr="005B3ABD" w:rsidRDefault="003B40DD" w:rsidP="00882D36">
            <w:pPr>
              <w:pStyle w:val="ColumnHeading"/>
              <w:keepNext/>
              <w:rPr>
                <w:color w:val="0000FA"/>
              </w:rPr>
            </w:pPr>
            <w:r w:rsidRPr="005B3ABD">
              <w:t>Text proposed by the Commission</w:t>
            </w:r>
          </w:p>
        </w:tc>
        <w:tc>
          <w:tcPr>
            <w:tcW w:w="4876" w:type="dxa"/>
          </w:tcPr>
          <w:p w14:paraId="25164A6B" w14:textId="77777777" w:rsidR="003B40DD" w:rsidRPr="005B3ABD" w:rsidRDefault="003B40DD" w:rsidP="00882D36">
            <w:pPr>
              <w:pStyle w:val="ColumnHeading"/>
              <w:keepNext/>
              <w:rPr>
                <w:color w:val="0000F5"/>
              </w:rPr>
            </w:pPr>
            <w:r w:rsidRPr="005B3ABD">
              <w:t>Amendment</w:t>
            </w:r>
          </w:p>
        </w:tc>
      </w:tr>
      <w:tr w:rsidR="003B40DD" w:rsidRPr="005B3ABD" w14:paraId="422422B6" w14:textId="77777777" w:rsidTr="00882D36">
        <w:trPr>
          <w:jc w:val="center"/>
        </w:trPr>
        <w:tc>
          <w:tcPr>
            <w:tcW w:w="4876" w:type="dxa"/>
          </w:tcPr>
          <w:p w14:paraId="0588607C" w14:textId="77777777" w:rsidR="003B40DD" w:rsidRPr="005B3ABD" w:rsidRDefault="003B40DD" w:rsidP="00882D36">
            <w:pPr>
              <w:pStyle w:val="Normal6"/>
              <w:rPr>
                <w:color w:val="0000FA"/>
              </w:rPr>
            </w:pPr>
          </w:p>
        </w:tc>
        <w:tc>
          <w:tcPr>
            <w:tcW w:w="4876" w:type="dxa"/>
          </w:tcPr>
          <w:p w14:paraId="5BEA2F44" w14:textId="77777777" w:rsidR="003B40DD" w:rsidRPr="005B3ABD" w:rsidRDefault="003B40DD" w:rsidP="00882D36">
            <w:pPr>
              <w:pStyle w:val="Normal6"/>
              <w:rPr>
                <w:color w:val="000005"/>
                <w:szCs w:val="24"/>
              </w:rPr>
            </w:pPr>
            <w:r w:rsidRPr="005B3ABD">
              <w:rPr>
                <w:b/>
                <w:i/>
              </w:rPr>
              <w:t>(5 m)</w:t>
            </w:r>
            <w:r w:rsidRPr="005B3ABD">
              <w:rPr>
                <w:b/>
                <w:i/>
              </w:rPr>
              <w:tab/>
              <w:t>In Article 75, paragraph 3, the following point is inserted:</w:t>
            </w:r>
          </w:p>
        </w:tc>
      </w:tr>
      <w:tr w:rsidR="003B40DD" w:rsidRPr="005B3ABD" w14:paraId="19190575" w14:textId="77777777" w:rsidTr="00882D36">
        <w:trPr>
          <w:jc w:val="center"/>
        </w:trPr>
        <w:tc>
          <w:tcPr>
            <w:tcW w:w="4876" w:type="dxa"/>
          </w:tcPr>
          <w:p w14:paraId="7F54863E" w14:textId="77777777" w:rsidR="003B40DD" w:rsidRPr="005B3ABD" w:rsidRDefault="003B40DD" w:rsidP="00882D36">
            <w:pPr>
              <w:pStyle w:val="Normal6"/>
              <w:rPr>
                <w:color w:val="0000FA"/>
              </w:rPr>
            </w:pPr>
          </w:p>
        </w:tc>
        <w:tc>
          <w:tcPr>
            <w:tcW w:w="4876" w:type="dxa"/>
          </w:tcPr>
          <w:p w14:paraId="68AEE877" w14:textId="77777777" w:rsidR="003B40DD" w:rsidRPr="005B3ABD" w:rsidRDefault="003B40DD" w:rsidP="00882D36">
            <w:pPr>
              <w:pStyle w:val="Normal6"/>
              <w:rPr>
                <w:szCs w:val="24"/>
              </w:rPr>
            </w:pPr>
            <w:r w:rsidRPr="005B3ABD">
              <w:rPr>
                <w:b/>
                <w:i/>
              </w:rPr>
              <w:t>(m a) animal welfare.</w:t>
            </w:r>
          </w:p>
        </w:tc>
      </w:tr>
    </w:tbl>
    <w:p w14:paraId="6FF32661"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E143F03"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9C245F5" w14:textId="77777777" w:rsidR="003B40DD" w:rsidRPr="005B3ABD" w:rsidRDefault="003B40DD" w:rsidP="003B40DD">
      <w:pPr>
        <w:pStyle w:val="Normal12Italic"/>
      </w:pPr>
      <w:r w:rsidRPr="005B3ABD">
        <w:t>Animal welfare can also be included in marketing standards.</w:t>
      </w:r>
    </w:p>
    <w:p w14:paraId="3D02A91D" w14:textId="77777777" w:rsidR="003B40DD" w:rsidRPr="005B3ABD" w:rsidRDefault="003B40DD" w:rsidP="003B40DD">
      <w:r w:rsidRPr="005B3ABD">
        <w:rPr>
          <w:rStyle w:val="HideTWBExt"/>
          <w:noProof w:val="0"/>
          <w:color w:val="auto"/>
        </w:rPr>
        <w:t>&lt;/Amend&gt;</w:t>
      </w:r>
    </w:p>
    <w:p w14:paraId="4B3F15F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29</w:t>
      </w:r>
      <w:r w:rsidRPr="005B3ABD">
        <w:rPr>
          <w:rStyle w:val="HideTWBExt"/>
          <w:b w:val="0"/>
          <w:noProof w:val="0"/>
          <w:color w:val="auto"/>
        </w:rPr>
        <w:t>&lt;/NumAm&gt;</w:t>
      </w:r>
    </w:p>
    <w:p w14:paraId="4E3A3E6E"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B79E76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9 – point a</w:t>
      </w:r>
      <w:r w:rsidRPr="005B3ABD">
        <w:rPr>
          <w:rStyle w:val="HideTWBExt"/>
          <w:b w:val="0"/>
          <w:noProof w:val="0"/>
          <w:color w:val="auto"/>
        </w:rPr>
        <w:t>&lt;/Article&gt;</w:t>
      </w:r>
    </w:p>
    <w:p w14:paraId="7EAFA518"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35D96E2" w14:textId="77777777" w:rsidR="003B40DD" w:rsidRPr="005B3ABD" w:rsidRDefault="003B40DD" w:rsidP="003B40DD">
      <w:r w:rsidRPr="005B3ABD">
        <w:rPr>
          <w:rStyle w:val="HideTWBExt"/>
          <w:noProof w:val="0"/>
          <w:color w:val="auto"/>
        </w:rPr>
        <w:t>&lt;Article2&gt;</w:t>
      </w:r>
      <w:r w:rsidRPr="005B3ABD">
        <w:t>Article 93 – paragraph 1 – point a – point i</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1C2A241" w14:textId="77777777" w:rsidTr="00882D36">
        <w:trPr>
          <w:jc w:val="center"/>
        </w:trPr>
        <w:tc>
          <w:tcPr>
            <w:tcW w:w="9752" w:type="dxa"/>
            <w:gridSpan w:val="2"/>
          </w:tcPr>
          <w:p w14:paraId="28723E09" w14:textId="77777777" w:rsidR="003B40DD" w:rsidRPr="005B3ABD" w:rsidRDefault="003B40DD" w:rsidP="00882D36">
            <w:pPr>
              <w:keepNext/>
            </w:pPr>
          </w:p>
        </w:tc>
      </w:tr>
      <w:tr w:rsidR="003B40DD" w:rsidRPr="005B3ABD" w14:paraId="33C12B4E" w14:textId="77777777" w:rsidTr="00882D36">
        <w:trPr>
          <w:jc w:val="center"/>
        </w:trPr>
        <w:tc>
          <w:tcPr>
            <w:tcW w:w="4876" w:type="dxa"/>
          </w:tcPr>
          <w:p w14:paraId="62D78049" w14:textId="77777777" w:rsidR="003B40DD" w:rsidRPr="005B3ABD" w:rsidRDefault="003B40DD" w:rsidP="00882D36">
            <w:pPr>
              <w:pStyle w:val="ColumnHeading"/>
              <w:keepNext/>
              <w:rPr>
                <w:color w:val="0000FA"/>
              </w:rPr>
            </w:pPr>
            <w:r w:rsidRPr="005B3ABD">
              <w:t>Text proposed by the Commission</w:t>
            </w:r>
          </w:p>
        </w:tc>
        <w:tc>
          <w:tcPr>
            <w:tcW w:w="4876" w:type="dxa"/>
          </w:tcPr>
          <w:p w14:paraId="00616736" w14:textId="77777777" w:rsidR="003B40DD" w:rsidRPr="005B3ABD" w:rsidRDefault="003B40DD" w:rsidP="00882D36">
            <w:pPr>
              <w:pStyle w:val="ColumnHeading"/>
              <w:keepNext/>
              <w:rPr>
                <w:color w:val="0000F5"/>
              </w:rPr>
            </w:pPr>
            <w:r w:rsidRPr="005B3ABD">
              <w:t>Amendment</w:t>
            </w:r>
          </w:p>
        </w:tc>
      </w:tr>
      <w:tr w:rsidR="003B40DD" w:rsidRPr="005B3ABD" w14:paraId="2838D40B" w14:textId="77777777" w:rsidTr="00882D36">
        <w:trPr>
          <w:jc w:val="center"/>
        </w:trPr>
        <w:tc>
          <w:tcPr>
            <w:tcW w:w="4876" w:type="dxa"/>
          </w:tcPr>
          <w:p w14:paraId="14A71B05" w14:textId="77777777" w:rsidR="003B40DD" w:rsidRPr="005B3ABD" w:rsidRDefault="003B40DD" w:rsidP="00882D36">
            <w:pPr>
              <w:pStyle w:val="Normal6"/>
              <w:rPr>
                <w:color w:val="0000FA"/>
              </w:rPr>
            </w:pPr>
            <w:r w:rsidRPr="005B3ABD">
              <w:t>(i)</w:t>
            </w:r>
            <w:r w:rsidRPr="005B3ABD">
              <w:tab/>
              <w:t xml:space="preserve">whose quality or characteristics are essentially or exclusively due to a particular geographical environment, with its </w:t>
            </w:r>
            <w:r w:rsidRPr="005B3ABD">
              <w:rPr>
                <w:b/>
                <w:bCs/>
                <w:i/>
                <w:iCs/>
              </w:rPr>
              <w:t>inherent</w:t>
            </w:r>
            <w:r w:rsidRPr="005B3ABD">
              <w:t xml:space="preserve"> natural factors and</w:t>
            </w:r>
            <w:r w:rsidRPr="005B3ABD">
              <w:rPr>
                <w:b/>
                <w:bCs/>
                <w:i/>
                <w:iCs/>
              </w:rPr>
              <w:t>, where relevant,</w:t>
            </w:r>
            <w:r w:rsidRPr="005B3ABD">
              <w:t xml:space="preserve"> human factors;</w:t>
            </w:r>
          </w:p>
        </w:tc>
        <w:tc>
          <w:tcPr>
            <w:tcW w:w="4876" w:type="dxa"/>
          </w:tcPr>
          <w:p w14:paraId="69C43BD9" w14:textId="77777777" w:rsidR="003B40DD" w:rsidRPr="005B3ABD" w:rsidRDefault="003B40DD" w:rsidP="00882D36">
            <w:pPr>
              <w:pStyle w:val="Normal6"/>
              <w:rPr>
                <w:szCs w:val="24"/>
              </w:rPr>
            </w:pPr>
            <w:r w:rsidRPr="005B3ABD">
              <w:t>(i)</w:t>
            </w:r>
            <w:r w:rsidRPr="005B3ABD">
              <w:tab/>
              <w:t>whose quality or characteristics are essentially or exclusively due to a particular geographical environment with its natural and human factors;</w:t>
            </w:r>
          </w:p>
        </w:tc>
      </w:tr>
    </w:tbl>
    <w:p w14:paraId="272B662A"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6FB2DA1"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D124132" w14:textId="77777777" w:rsidR="003B40DD" w:rsidRPr="005B3ABD" w:rsidRDefault="003B40DD" w:rsidP="003B40DD">
      <w:pPr>
        <w:pStyle w:val="Normal12Italic"/>
      </w:pPr>
      <w:r w:rsidRPr="005B3ABD">
        <w:t>The definition of designation of origin in the amendment takes over the definition provided for at international level in the Lisbon Agreement, yet takes the specificity of the EU into account.</w:t>
      </w:r>
    </w:p>
    <w:p w14:paraId="305BEE7C" w14:textId="77777777" w:rsidR="003B40DD" w:rsidRPr="005B3ABD" w:rsidRDefault="003B40DD" w:rsidP="003B40DD">
      <w:r w:rsidRPr="005B3ABD">
        <w:rPr>
          <w:rStyle w:val="HideTWBExt"/>
          <w:noProof w:val="0"/>
          <w:color w:val="auto"/>
        </w:rPr>
        <w:t>&lt;/Amend&gt;</w:t>
      </w:r>
    </w:p>
    <w:p w14:paraId="1EBFF8C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30</w:t>
      </w:r>
      <w:r w:rsidRPr="005B3ABD">
        <w:rPr>
          <w:rStyle w:val="HideTWBExt"/>
          <w:b w:val="0"/>
          <w:noProof w:val="0"/>
          <w:color w:val="auto"/>
        </w:rPr>
        <w:t>&lt;/NumAm&gt;</w:t>
      </w:r>
    </w:p>
    <w:p w14:paraId="45B809AA"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057A60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9 – point a</w:t>
      </w:r>
      <w:r w:rsidRPr="005B3ABD">
        <w:rPr>
          <w:rStyle w:val="HideTWBExt"/>
          <w:b w:val="0"/>
          <w:noProof w:val="0"/>
          <w:color w:val="auto"/>
        </w:rPr>
        <w:t>&lt;/Article&gt;</w:t>
      </w:r>
    </w:p>
    <w:p w14:paraId="7D88801A"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8A75C6E" w14:textId="77777777" w:rsidR="003B40DD" w:rsidRPr="005B3ABD" w:rsidRDefault="003B40DD" w:rsidP="003B40DD">
      <w:r w:rsidRPr="005B3ABD">
        <w:rPr>
          <w:rStyle w:val="HideTWBExt"/>
          <w:noProof w:val="0"/>
          <w:color w:val="auto"/>
        </w:rPr>
        <w:t>&lt;Article2&gt;</w:t>
      </w:r>
      <w:r w:rsidRPr="005B3ABD">
        <w:t>Article 93 – paragraph 1 – point a – point ii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05409BC" w14:textId="77777777" w:rsidTr="00882D36">
        <w:trPr>
          <w:jc w:val="center"/>
        </w:trPr>
        <w:tc>
          <w:tcPr>
            <w:tcW w:w="9752" w:type="dxa"/>
            <w:gridSpan w:val="2"/>
          </w:tcPr>
          <w:p w14:paraId="4791D2E2" w14:textId="77777777" w:rsidR="003B40DD" w:rsidRPr="005B3ABD" w:rsidRDefault="003B40DD" w:rsidP="00882D36">
            <w:pPr>
              <w:keepNext/>
            </w:pPr>
          </w:p>
        </w:tc>
      </w:tr>
      <w:tr w:rsidR="003B40DD" w:rsidRPr="005B3ABD" w14:paraId="75F92278" w14:textId="77777777" w:rsidTr="00882D36">
        <w:trPr>
          <w:jc w:val="center"/>
        </w:trPr>
        <w:tc>
          <w:tcPr>
            <w:tcW w:w="4876" w:type="dxa"/>
          </w:tcPr>
          <w:p w14:paraId="73063EC5" w14:textId="77777777" w:rsidR="003B40DD" w:rsidRPr="005B3ABD" w:rsidRDefault="003B40DD" w:rsidP="00882D36">
            <w:pPr>
              <w:pStyle w:val="ColumnHeading"/>
              <w:keepNext/>
              <w:rPr>
                <w:color w:val="0000FA"/>
              </w:rPr>
            </w:pPr>
            <w:r w:rsidRPr="005B3ABD">
              <w:t>Text proposed by the Commission</w:t>
            </w:r>
          </w:p>
        </w:tc>
        <w:tc>
          <w:tcPr>
            <w:tcW w:w="4876" w:type="dxa"/>
          </w:tcPr>
          <w:p w14:paraId="51A304BA" w14:textId="77777777" w:rsidR="003B40DD" w:rsidRPr="005B3ABD" w:rsidRDefault="003B40DD" w:rsidP="00882D36">
            <w:pPr>
              <w:pStyle w:val="ColumnHeading"/>
              <w:keepNext/>
              <w:rPr>
                <w:color w:val="0000F5"/>
              </w:rPr>
            </w:pPr>
            <w:r w:rsidRPr="005B3ABD">
              <w:t>Amendment</w:t>
            </w:r>
          </w:p>
        </w:tc>
      </w:tr>
      <w:tr w:rsidR="003B40DD" w:rsidRPr="005B3ABD" w14:paraId="478A691F" w14:textId="77777777" w:rsidTr="00882D36">
        <w:trPr>
          <w:jc w:val="center"/>
        </w:trPr>
        <w:tc>
          <w:tcPr>
            <w:tcW w:w="4876" w:type="dxa"/>
          </w:tcPr>
          <w:p w14:paraId="71AC39B2" w14:textId="77777777" w:rsidR="003B40DD" w:rsidRPr="005B3ABD" w:rsidRDefault="003B40DD" w:rsidP="00882D36">
            <w:pPr>
              <w:pStyle w:val="Normal6"/>
              <w:rPr>
                <w:color w:val="0000FA"/>
              </w:rPr>
            </w:pPr>
          </w:p>
        </w:tc>
        <w:tc>
          <w:tcPr>
            <w:tcW w:w="4876" w:type="dxa"/>
          </w:tcPr>
          <w:p w14:paraId="772E5546" w14:textId="77777777" w:rsidR="003B40DD" w:rsidRPr="005B3ABD" w:rsidRDefault="003B40DD" w:rsidP="00882D36">
            <w:pPr>
              <w:pStyle w:val="Normal6"/>
              <w:rPr>
                <w:color w:val="000005"/>
                <w:szCs w:val="24"/>
              </w:rPr>
            </w:pPr>
            <w:r w:rsidRPr="005B3ABD">
              <w:rPr>
                <w:b/>
                <w:i/>
              </w:rPr>
              <w:t>(ii a)</w:t>
            </w:r>
            <w:r w:rsidRPr="005B3ABD">
              <w:rPr>
                <w:b/>
                <w:i/>
              </w:rPr>
              <w:tab/>
              <w:t xml:space="preserve">The following point shall be added </w:t>
            </w:r>
            <w:r w:rsidRPr="005B3ABD">
              <w:rPr>
                <w:b/>
                <w:i/>
              </w:rPr>
              <w:lastRenderedPageBreak/>
              <w:t>to Article 93(1)(a):</w:t>
            </w:r>
          </w:p>
        </w:tc>
      </w:tr>
      <w:tr w:rsidR="003B40DD" w:rsidRPr="005B3ABD" w14:paraId="2957EB0B" w14:textId="77777777" w:rsidTr="00882D36">
        <w:trPr>
          <w:jc w:val="center"/>
        </w:trPr>
        <w:tc>
          <w:tcPr>
            <w:tcW w:w="4876" w:type="dxa"/>
          </w:tcPr>
          <w:p w14:paraId="23EFAC7F" w14:textId="77777777" w:rsidR="003B40DD" w:rsidRPr="005B3ABD" w:rsidRDefault="003B40DD" w:rsidP="00882D36">
            <w:pPr>
              <w:pStyle w:val="Normal6"/>
              <w:rPr>
                <w:color w:val="0000FA"/>
              </w:rPr>
            </w:pPr>
          </w:p>
        </w:tc>
        <w:tc>
          <w:tcPr>
            <w:tcW w:w="4876" w:type="dxa"/>
          </w:tcPr>
          <w:p w14:paraId="3CB93CA2" w14:textId="77777777" w:rsidR="003B40DD" w:rsidRPr="005B3ABD" w:rsidRDefault="003B40DD" w:rsidP="00882D36">
            <w:pPr>
              <w:pStyle w:val="Normal6"/>
              <w:rPr>
                <w:szCs w:val="24"/>
              </w:rPr>
            </w:pPr>
            <w:r w:rsidRPr="005B3ABD">
              <w:rPr>
                <w:b/>
                <w:i/>
              </w:rPr>
              <w:t>(ii a) the name is traditionally used in a specific place;</w:t>
            </w:r>
          </w:p>
        </w:tc>
      </w:tr>
    </w:tbl>
    <w:p w14:paraId="2CE0D6D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89DF74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F233E98" w14:textId="77777777" w:rsidR="003B40DD" w:rsidRPr="005B3ABD" w:rsidRDefault="003B40DD" w:rsidP="003B40DD">
      <w:pPr>
        <w:pStyle w:val="Normal12Italic"/>
      </w:pPr>
      <w:r w:rsidRPr="005B3ABD">
        <w:t>The definition of designation of origin in the amendment takes over the definition provided for at international level in the Lisbon Agreement.</w:t>
      </w:r>
    </w:p>
    <w:p w14:paraId="36254016" w14:textId="77777777" w:rsidR="003B40DD" w:rsidRPr="005B3ABD" w:rsidRDefault="003B40DD" w:rsidP="003B40DD">
      <w:r w:rsidRPr="005B3ABD">
        <w:rPr>
          <w:rStyle w:val="HideTWBExt"/>
          <w:noProof w:val="0"/>
          <w:color w:val="auto"/>
        </w:rPr>
        <w:t>&lt;/Amend&gt;</w:t>
      </w:r>
    </w:p>
    <w:p w14:paraId="794BE767"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31</w:t>
      </w:r>
      <w:r w:rsidRPr="005B3ABD">
        <w:rPr>
          <w:rStyle w:val="HideTWBExt"/>
          <w:b w:val="0"/>
          <w:noProof w:val="0"/>
          <w:color w:val="auto"/>
        </w:rPr>
        <w:t>&lt;/NumAm&gt;</w:t>
      </w:r>
    </w:p>
    <w:p w14:paraId="6FF95AE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C21D6FE"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9 – point a</w:t>
      </w:r>
      <w:r w:rsidRPr="005B3ABD">
        <w:rPr>
          <w:rStyle w:val="HideTWBExt"/>
          <w:b w:val="0"/>
          <w:noProof w:val="0"/>
          <w:color w:val="auto"/>
        </w:rPr>
        <w:t>&lt;/Article&gt;</w:t>
      </w:r>
    </w:p>
    <w:p w14:paraId="49419E3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55FC346" w14:textId="77777777" w:rsidR="003B40DD" w:rsidRPr="005B3ABD" w:rsidRDefault="003B40DD" w:rsidP="003B40DD">
      <w:r w:rsidRPr="005B3ABD">
        <w:rPr>
          <w:rStyle w:val="HideTWBExt"/>
          <w:noProof w:val="0"/>
          <w:color w:val="auto"/>
        </w:rPr>
        <w:t>&lt;Article2&gt;</w:t>
      </w:r>
      <w:r w:rsidRPr="005B3ABD">
        <w:t>Article 93 – paragraph 1 – point a – point v</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859D17A" w14:textId="77777777" w:rsidTr="00882D36">
        <w:trPr>
          <w:jc w:val="center"/>
        </w:trPr>
        <w:tc>
          <w:tcPr>
            <w:tcW w:w="9752" w:type="dxa"/>
            <w:gridSpan w:val="2"/>
          </w:tcPr>
          <w:p w14:paraId="75D35B13" w14:textId="77777777" w:rsidR="003B40DD" w:rsidRPr="005B3ABD" w:rsidRDefault="003B40DD" w:rsidP="00882D36">
            <w:pPr>
              <w:keepNext/>
            </w:pPr>
          </w:p>
        </w:tc>
      </w:tr>
      <w:tr w:rsidR="003B40DD" w:rsidRPr="005B3ABD" w14:paraId="19C4A8C9" w14:textId="77777777" w:rsidTr="00882D36">
        <w:trPr>
          <w:jc w:val="center"/>
        </w:trPr>
        <w:tc>
          <w:tcPr>
            <w:tcW w:w="4876" w:type="dxa"/>
          </w:tcPr>
          <w:p w14:paraId="38C60C9D" w14:textId="77777777" w:rsidR="003B40DD" w:rsidRPr="005B3ABD" w:rsidRDefault="003B40DD" w:rsidP="00882D36">
            <w:pPr>
              <w:pStyle w:val="ColumnHeading"/>
              <w:keepNext/>
              <w:rPr>
                <w:color w:val="0000FA"/>
              </w:rPr>
            </w:pPr>
            <w:r w:rsidRPr="005B3ABD">
              <w:t>Text proposed by the Commission</w:t>
            </w:r>
          </w:p>
        </w:tc>
        <w:tc>
          <w:tcPr>
            <w:tcW w:w="4876" w:type="dxa"/>
          </w:tcPr>
          <w:p w14:paraId="20DEADF7" w14:textId="77777777" w:rsidR="003B40DD" w:rsidRPr="005B3ABD" w:rsidRDefault="003B40DD" w:rsidP="00882D36">
            <w:pPr>
              <w:pStyle w:val="ColumnHeading"/>
              <w:keepNext/>
              <w:rPr>
                <w:color w:val="0000F5"/>
              </w:rPr>
            </w:pPr>
            <w:r w:rsidRPr="005B3ABD">
              <w:t>Amendment</w:t>
            </w:r>
          </w:p>
        </w:tc>
      </w:tr>
      <w:tr w:rsidR="003B40DD" w:rsidRPr="005B3ABD" w14:paraId="79233724" w14:textId="77777777" w:rsidTr="00882D36">
        <w:trPr>
          <w:jc w:val="center"/>
        </w:trPr>
        <w:tc>
          <w:tcPr>
            <w:tcW w:w="4876" w:type="dxa"/>
          </w:tcPr>
          <w:p w14:paraId="288BE882" w14:textId="77777777" w:rsidR="003B40DD" w:rsidRPr="005B3ABD" w:rsidRDefault="003B40DD" w:rsidP="00882D36">
            <w:pPr>
              <w:pStyle w:val="Normal6"/>
              <w:rPr>
                <w:color w:val="0000FA"/>
              </w:rPr>
            </w:pPr>
            <w:r w:rsidRPr="005B3ABD">
              <w:t>(v)</w:t>
            </w:r>
            <w:r w:rsidRPr="005B3ABD">
              <w:tab/>
              <w:t xml:space="preserve">which is obtained from vine varieties belonging to Vitis vinifera or a cross between </w:t>
            </w:r>
            <w:r w:rsidRPr="005B3ABD">
              <w:rPr>
                <w:b/>
                <w:bCs/>
                <w:i/>
                <w:iCs/>
              </w:rPr>
              <w:t>the</w:t>
            </w:r>
            <w:r w:rsidRPr="005B3ABD">
              <w:t xml:space="preserve"> Vitis vinifera </w:t>
            </w:r>
            <w:r w:rsidRPr="005B3ABD">
              <w:rPr>
                <w:b/>
                <w:bCs/>
                <w:i/>
                <w:iCs/>
              </w:rPr>
              <w:t>species</w:t>
            </w:r>
            <w:r w:rsidRPr="005B3ABD">
              <w:t xml:space="preserve"> and other species of the genus Vitis.';</w:t>
            </w:r>
          </w:p>
        </w:tc>
        <w:tc>
          <w:tcPr>
            <w:tcW w:w="4876" w:type="dxa"/>
          </w:tcPr>
          <w:p w14:paraId="1A6393A1" w14:textId="77777777" w:rsidR="003B40DD" w:rsidRPr="005B3ABD" w:rsidRDefault="003B40DD" w:rsidP="00882D36">
            <w:pPr>
              <w:pStyle w:val="Normal6"/>
              <w:rPr>
                <w:szCs w:val="24"/>
              </w:rPr>
            </w:pPr>
            <w:r w:rsidRPr="005B3ABD">
              <w:t>(v)</w:t>
            </w:r>
            <w:r w:rsidRPr="005B3ABD">
              <w:tab/>
              <w:t xml:space="preserve">which is obtained from vine varieties belonging to Vitis vinifera or </w:t>
            </w:r>
            <w:r w:rsidRPr="005B3ABD">
              <w:rPr>
                <w:b/>
                <w:bCs/>
                <w:i/>
                <w:iCs/>
              </w:rPr>
              <w:t>Vitis labrusca or a variety that is</w:t>
            </w:r>
            <w:r w:rsidRPr="005B3ABD">
              <w:rPr>
                <w:b/>
                <w:bCs/>
              </w:rPr>
              <w:t xml:space="preserve"> </w:t>
            </w:r>
            <w:r w:rsidRPr="005B3ABD">
              <w:t>a cross between Vitis vinifera</w:t>
            </w:r>
            <w:r w:rsidRPr="005B3ABD">
              <w:rPr>
                <w:b/>
                <w:bCs/>
                <w:i/>
                <w:iCs/>
              </w:rPr>
              <w:t>, Vitis labrusca</w:t>
            </w:r>
            <w:r w:rsidRPr="005B3ABD">
              <w:t xml:space="preserve"> and other species of the genus Vitis.';</w:t>
            </w:r>
          </w:p>
        </w:tc>
      </w:tr>
    </w:tbl>
    <w:p w14:paraId="57074DF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E481B75"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F523FF4" w14:textId="77777777" w:rsidR="003B40DD" w:rsidRPr="005B3ABD" w:rsidRDefault="003B40DD" w:rsidP="003B40DD">
      <w:pPr>
        <w:pStyle w:val="Normal12Italic"/>
      </w:pPr>
      <w:r w:rsidRPr="005B3ABD">
        <w:t>The Commission proposes to extend the wine grape varieties that are authorised for planting and replanting. It should be possible for winegrowers who wish to do so, to use these new varieties in designation of origin products if their Country decides to classify and therefore to authorise these on their territory.</w:t>
      </w:r>
    </w:p>
    <w:p w14:paraId="516C556C" w14:textId="77777777" w:rsidR="003B40DD" w:rsidRPr="005B3ABD" w:rsidRDefault="003B40DD" w:rsidP="003B40DD">
      <w:r w:rsidRPr="005B3ABD">
        <w:rPr>
          <w:rStyle w:val="HideTWBExt"/>
          <w:noProof w:val="0"/>
          <w:color w:val="auto"/>
        </w:rPr>
        <w:t>&lt;/Amend&gt;</w:t>
      </w:r>
    </w:p>
    <w:p w14:paraId="02D2318B"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32</w:t>
      </w:r>
      <w:r w:rsidRPr="005B3ABD">
        <w:rPr>
          <w:rStyle w:val="HideTWBExt"/>
          <w:b w:val="0"/>
          <w:noProof w:val="0"/>
          <w:color w:val="auto"/>
        </w:rPr>
        <w:t>&lt;/NumAm&gt;</w:t>
      </w:r>
    </w:p>
    <w:p w14:paraId="54C347E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2AB7CA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13 a (new)</w:t>
      </w:r>
      <w:r w:rsidRPr="005B3ABD">
        <w:rPr>
          <w:rStyle w:val="HideTWBExt"/>
          <w:b w:val="0"/>
          <w:noProof w:val="0"/>
          <w:color w:val="auto"/>
        </w:rPr>
        <w:t>&lt;/Article&gt;</w:t>
      </w:r>
    </w:p>
    <w:p w14:paraId="67D93767"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32F617B" w14:textId="77777777" w:rsidR="003B40DD" w:rsidRPr="005B3ABD" w:rsidRDefault="003B40DD" w:rsidP="003B40DD">
      <w:r w:rsidRPr="005B3ABD">
        <w:rPr>
          <w:rStyle w:val="HideTWBExt"/>
          <w:noProof w:val="0"/>
          <w:color w:val="auto"/>
        </w:rPr>
        <w:t>&lt;Article2&gt;</w:t>
      </w:r>
      <w:r w:rsidRPr="005B3ABD">
        <w:t>Article 103 – paragraph 2 – point a – point ii</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1D9300F" w14:textId="77777777" w:rsidTr="00882D36">
        <w:trPr>
          <w:jc w:val="center"/>
        </w:trPr>
        <w:tc>
          <w:tcPr>
            <w:tcW w:w="9752" w:type="dxa"/>
            <w:gridSpan w:val="2"/>
          </w:tcPr>
          <w:p w14:paraId="1BBB7737" w14:textId="77777777" w:rsidR="003B40DD" w:rsidRPr="005B3ABD" w:rsidRDefault="003B40DD" w:rsidP="00882D36">
            <w:pPr>
              <w:keepNext/>
            </w:pPr>
          </w:p>
        </w:tc>
      </w:tr>
      <w:tr w:rsidR="003B40DD" w:rsidRPr="005B3ABD" w14:paraId="48E4A29D" w14:textId="77777777" w:rsidTr="00882D36">
        <w:trPr>
          <w:jc w:val="center"/>
        </w:trPr>
        <w:tc>
          <w:tcPr>
            <w:tcW w:w="4876" w:type="dxa"/>
          </w:tcPr>
          <w:p w14:paraId="04154FF9" w14:textId="77777777" w:rsidR="003B40DD" w:rsidRPr="005B3ABD" w:rsidRDefault="003B40DD" w:rsidP="00882D36">
            <w:pPr>
              <w:pStyle w:val="ColumnHeading"/>
              <w:keepNext/>
              <w:rPr>
                <w:color w:val="0000FA"/>
              </w:rPr>
            </w:pPr>
            <w:r w:rsidRPr="005B3ABD">
              <w:t>This text</w:t>
            </w:r>
          </w:p>
        </w:tc>
        <w:tc>
          <w:tcPr>
            <w:tcW w:w="4876" w:type="dxa"/>
          </w:tcPr>
          <w:p w14:paraId="40A9B07E" w14:textId="77777777" w:rsidR="003B40DD" w:rsidRPr="005B3ABD" w:rsidRDefault="003B40DD" w:rsidP="00882D36">
            <w:pPr>
              <w:pStyle w:val="ColumnHeading"/>
              <w:keepNext/>
              <w:rPr>
                <w:color w:val="0000F5"/>
              </w:rPr>
            </w:pPr>
            <w:r w:rsidRPr="005B3ABD">
              <w:t>Amendment</w:t>
            </w:r>
          </w:p>
        </w:tc>
      </w:tr>
      <w:tr w:rsidR="003B40DD" w:rsidRPr="005B3ABD" w14:paraId="3194B39A" w14:textId="77777777" w:rsidTr="00882D36">
        <w:trPr>
          <w:jc w:val="center"/>
        </w:trPr>
        <w:tc>
          <w:tcPr>
            <w:tcW w:w="4876" w:type="dxa"/>
          </w:tcPr>
          <w:p w14:paraId="063F2B38" w14:textId="77777777" w:rsidR="003B40DD" w:rsidRPr="005B3ABD" w:rsidRDefault="003B40DD" w:rsidP="00882D36">
            <w:pPr>
              <w:pStyle w:val="Normal6"/>
              <w:rPr>
                <w:color w:val="0000FA"/>
              </w:rPr>
            </w:pPr>
          </w:p>
        </w:tc>
        <w:tc>
          <w:tcPr>
            <w:tcW w:w="4876" w:type="dxa"/>
          </w:tcPr>
          <w:p w14:paraId="4069B014" w14:textId="77777777" w:rsidR="003B40DD" w:rsidRPr="005B3ABD" w:rsidRDefault="003B40DD" w:rsidP="00882D36">
            <w:pPr>
              <w:pStyle w:val="Normal6"/>
              <w:rPr>
                <w:color w:val="000005"/>
                <w:szCs w:val="24"/>
              </w:rPr>
            </w:pPr>
            <w:r w:rsidRPr="005B3ABD">
              <w:rPr>
                <w:b/>
                <w:i/>
              </w:rPr>
              <w:t>(13 a)</w:t>
            </w:r>
            <w:r w:rsidRPr="005B3ABD">
              <w:rPr>
                <w:b/>
                <w:i/>
              </w:rPr>
              <w:tab/>
              <w:t xml:space="preserve">In point (a) of Article 103(2), point </w:t>
            </w:r>
            <w:r w:rsidRPr="005B3ABD">
              <w:rPr>
                <w:b/>
                <w:i/>
              </w:rPr>
              <w:lastRenderedPageBreak/>
              <w:t>(ii) is replaced by the following:</w:t>
            </w:r>
          </w:p>
        </w:tc>
      </w:tr>
      <w:tr w:rsidR="003B40DD" w:rsidRPr="005B3ABD" w14:paraId="5DE556EF" w14:textId="77777777" w:rsidTr="00882D36">
        <w:trPr>
          <w:jc w:val="center"/>
        </w:trPr>
        <w:tc>
          <w:tcPr>
            <w:tcW w:w="4876" w:type="dxa"/>
          </w:tcPr>
          <w:p w14:paraId="30BAE799" w14:textId="77777777" w:rsidR="003B40DD" w:rsidRPr="005B3ABD" w:rsidRDefault="003B40DD" w:rsidP="00882D36">
            <w:pPr>
              <w:pStyle w:val="Normal6"/>
              <w:rPr>
                <w:color w:val="0000FA"/>
              </w:rPr>
            </w:pPr>
            <w:r w:rsidRPr="005B3ABD">
              <w:lastRenderedPageBreak/>
              <w:t>(ii) in so far as such use exploits the reputation of a designation of origin or a geographical indication;</w:t>
            </w:r>
          </w:p>
        </w:tc>
        <w:tc>
          <w:tcPr>
            <w:tcW w:w="4876" w:type="dxa"/>
          </w:tcPr>
          <w:p w14:paraId="0D53AB75" w14:textId="77777777" w:rsidR="003B40DD" w:rsidRPr="005B3ABD" w:rsidRDefault="003B40DD" w:rsidP="00882D36">
            <w:pPr>
              <w:pStyle w:val="Normal6"/>
              <w:rPr>
                <w:szCs w:val="24"/>
              </w:rPr>
            </w:pPr>
            <w:r w:rsidRPr="005B3ABD">
              <w:t>“(ii) in so far as such use exploits</w:t>
            </w:r>
            <w:r w:rsidRPr="005B3ABD">
              <w:rPr>
                <w:b/>
                <w:bCs/>
                <w:i/>
                <w:iCs/>
              </w:rPr>
              <w:t>, weakens or dilutes</w:t>
            </w:r>
            <w:r w:rsidRPr="005B3ABD">
              <w:t xml:space="preserve"> the reputation of a designation of origin or a geographical indication;” </w:t>
            </w:r>
          </w:p>
        </w:tc>
      </w:tr>
    </w:tbl>
    <w:p w14:paraId="4244E7D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87EF4DA" w14:textId="77777777" w:rsidR="003B40DD" w:rsidRPr="005B3ABD" w:rsidRDefault="003B40DD" w:rsidP="003B40DD">
      <w:pPr>
        <w:pStyle w:val="CrossRef"/>
      </w:pPr>
      <w:r w:rsidRPr="005B3ABD">
        <w:t>(https://eur-lex.europa.eu/legal-content/EN/TXT/?uri=CELEX:32013R1308)</w:t>
      </w:r>
    </w:p>
    <w:p w14:paraId="69842F8D"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F2124B1" w14:textId="77777777" w:rsidR="003B40DD" w:rsidRPr="005B3ABD" w:rsidRDefault="003B40DD" w:rsidP="003B40DD">
      <w:pPr>
        <w:pStyle w:val="Normal12Italic"/>
      </w:pPr>
      <w:r w:rsidRPr="005B3ABD">
        <w:t>This amendment aims to reinforce the system that protects any protected designation of origin or protected geographical indication in the wine sector.</w:t>
      </w:r>
    </w:p>
    <w:p w14:paraId="0589666F" w14:textId="77777777" w:rsidR="003B40DD" w:rsidRPr="005B3ABD" w:rsidRDefault="003B40DD" w:rsidP="003B40DD">
      <w:r w:rsidRPr="005B3ABD">
        <w:rPr>
          <w:rStyle w:val="HideTWBExt"/>
          <w:noProof w:val="0"/>
          <w:color w:val="auto"/>
        </w:rPr>
        <w:t>&lt;/Amend&gt;</w:t>
      </w:r>
    </w:p>
    <w:p w14:paraId="1F5DA58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33</w:t>
      </w:r>
      <w:r w:rsidRPr="005B3ABD">
        <w:rPr>
          <w:rStyle w:val="HideTWBExt"/>
          <w:b w:val="0"/>
          <w:noProof w:val="0"/>
          <w:color w:val="auto"/>
        </w:rPr>
        <w:t>&lt;/NumAm&gt;</w:t>
      </w:r>
    </w:p>
    <w:p w14:paraId="66A335B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E51280B"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13 b (new)</w:t>
      </w:r>
      <w:r w:rsidRPr="005B3ABD">
        <w:rPr>
          <w:rStyle w:val="HideTWBExt"/>
          <w:b w:val="0"/>
          <w:noProof w:val="0"/>
          <w:color w:val="auto"/>
        </w:rPr>
        <w:t>&lt;/Article&gt;</w:t>
      </w:r>
    </w:p>
    <w:p w14:paraId="2A79F10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32195BB" w14:textId="77777777" w:rsidR="003B40DD" w:rsidRPr="005B3ABD" w:rsidRDefault="003B40DD" w:rsidP="003B40DD">
      <w:r w:rsidRPr="005B3ABD">
        <w:rPr>
          <w:rStyle w:val="HideTWBExt"/>
          <w:noProof w:val="0"/>
          <w:color w:val="auto"/>
        </w:rPr>
        <w:t>&lt;Article2&gt;</w:t>
      </w:r>
      <w:r w:rsidRPr="005B3ABD">
        <w:t>Article 103 – paragraph 2 – point b</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3715524" w14:textId="77777777" w:rsidTr="00882D36">
        <w:trPr>
          <w:jc w:val="center"/>
        </w:trPr>
        <w:tc>
          <w:tcPr>
            <w:tcW w:w="9752" w:type="dxa"/>
            <w:gridSpan w:val="2"/>
          </w:tcPr>
          <w:p w14:paraId="5A79F322" w14:textId="77777777" w:rsidR="003B40DD" w:rsidRPr="005B3ABD" w:rsidRDefault="003B40DD" w:rsidP="00882D36">
            <w:pPr>
              <w:keepNext/>
            </w:pPr>
          </w:p>
        </w:tc>
      </w:tr>
      <w:tr w:rsidR="003B40DD" w:rsidRPr="005B3ABD" w14:paraId="69A57D56" w14:textId="77777777" w:rsidTr="00882D36">
        <w:trPr>
          <w:jc w:val="center"/>
        </w:trPr>
        <w:tc>
          <w:tcPr>
            <w:tcW w:w="4876" w:type="dxa"/>
          </w:tcPr>
          <w:p w14:paraId="7DDC0E3B" w14:textId="77777777" w:rsidR="003B40DD" w:rsidRPr="005B3ABD" w:rsidRDefault="003B40DD" w:rsidP="00882D36">
            <w:pPr>
              <w:pStyle w:val="ColumnHeading"/>
              <w:keepNext/>
              <w:rPr>
                <w:color w:val="0000FA"/>
              </w:rPr>
            </w:pPr>
            <w:r w:rsidRPr="005B3ABD">
              <w:t>This text</w:t>
            </w:r>
          </w:p>
        </w:tc>
        <w:tc>
          <w:tcPr>
            <w:tcW w:w="4876" w:type="dxa"/>
          </w:tcPr>
          <w:p w14:paraId="7E1AEA8F" w14:textId="77777777" w:rsidR="003B40DD" w:rsidRPr="005B3ABD" w:rsidRDefault="003B40DD" w:rsidP="00882D36">
            <w:pPr>
              <w:pStyle w:val="ColumnHeading"/>
              <w:keepNext/>
              <w:rPr>
                <w:color w:val="0000F5"/>
              </w:rPr>
            </w:pPr>
            <w:r w:rsidRPr="005B3ABD">
              <w:t>Amendment</w:t>
            </w:r>
          </w:p>
        </w:tc>
      </w:tr>
      <w:tr w:rsidR="003B40DD" w:rsidRPr="005B3ABD" w14:paraId="1CE971F1" w14:textId="77777777" w:rsidTr="00882D36">
        <w:trPr>
          <w:jc w:val="center"/>
        </w:trPr>
        <w:tc>
          <w:tcPr>
            <w:tcW w:w="4876" w:type="dxa"/>
          </w:tcPr>
          <w:p w14:paraId="0CC64328" w14:textId="77777777" w:rsidR="003B40DD" w:rsidRPr="005B3ABD" w:rsidRDefault="003B40DD" w:rsidP="00882D36">
            <w:pPr>
              <w:pStyle w:val="Normal6"/>
              <w:rPr>
                <w:color w:val="0000FA"/>
              </w:rPr>
            </w:pPr>
          </w:p>
        </w:tc>
        <w:tc>
          <w:tcPr>
            <w:tcW w:w="4876" w:type="dxa"/>
          </w:tcPr>
          <w:p w14:paraId="2D0B1320" w14:textId="77777777" w:rsidR="003B40DD" w:rsidRPr="005B3ABD" w:rsidRDefault="003B40DD" w:rsidP="00882D36">
            <w:pPr>
              <w:pStyle w:val="Normal6"/>
              <w:rPr>
                <w:color w:val="000005"/>
                <w:szCs w:val="24"/>
              </w:rPr>
            </w:pPr>
            <w:r w:rsidRPr="005B3ABD">
              <w:rPr>
                <w:b/>
                <w:i/>
              </w:rPr>
              <w:t>(13 b)</w:t>
            </w:r>
            <w:r w:rsidRPr="005B3ABD">
              <w:rPr>
                <w:b/>
                <w:i/>
              </w:rPr>
              <w:tab/>
              <w:t>In article 103(2), point (b) is replaced by the following:</w:t>
            </w:r>
          </w:p>
        </w:tc>
      </w:tr>
      <w:tr w:rsidR="003B40DD" w:rsidRPr="005B3ABD" w14:paraId="27080A26" w14:textId="77777777" w:rsidTr="00882D36">
        <w:trPr>
          <w:jc w:val="center"/>
        </w:trPr>
        <w:tc>
          <w:tcPr>
            <w:tcW w:w="4876" w:type="dxa"/>
          </w:tcPr>
          <w:p w14:paraId="42C4F0AF" w14:textId="77777777" w:rsidR="003B40DD" w:rsidRPr="005B3ABD" w:rsidRDefault="003B40DD" w:rsidP="00882D36">
            <w:pPr>
              <w:pStyle w:val="Normal6"/>
              <w:rPr>
                <w:color w:val="0000FA"/>
              </w:rPr>
            </w:pPr>
            <w:r w:rsidRPr="005B3ABD">
              <w:t>(b) any misuse, imitation or evocation, even if the true origin of the product or service is indicated or if the protected name is translated, transcribed or transliterated or accompanied by an expression such as "style", "type", "method", "as produced in", "imitation", "flavour", "like" or similar;</w:t>
            </w:r>
          </w:p>
        </w:tc>
        <w:tc>
          <w:tcPr>
            <w:tcW w:w="4876" w:type="dxa"/>
          </w:tcPr>
          <w:p w14:paraId="18524404" w14:textId="77777777" w:rsidR="003B40DD" w:rsidRPr="005B3ABD" w:rsidRDefault="003B40DD" w:rsidP="00882D36">
            <w:pPr>
              <w:pStyle w:val="Normal6"/>
              <w:rPr>
                <w:szCs w:val="24"/>
              </w:rPr>
            </w:pPr>
            <w:r w:rsidRPr="005B3ABD">
              <w:t>“(b) any misuse, imitation or evocation, even if the true origin of the product or service is indicated or if the protected name is translated, transcribed or transliterated or accompanied by an expression such as "style", "type", "method", "as produced in", "imitation", "flavour", "like" or similar</w:t>
            </w:r>
            <w:r w:rsidRPr="005B3ABD">
              <w:rPr>
                <w:b/>
                <w:bCs/>
                <w:i/>
                <w:iCs/>
              </w:rPr>
              <w:t>, including when those products are used as an ingredient</w:t>
            </w:r>
            <w:r w:rsidRPr="005B3ABD">
              <w:t xml:space="preserve">;” </w:t>
            </w:r>
          </w:p>
        </w:tc>
      </w:tr>
    </w:tbl>
    <w:p w14:paraId="7A7A0C3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733DE4B" w14:textId="77777777" w:rsidR="003B40DD" w:rsidRPr="005B3ABD" w:rsidRDefault="003B40DD" w:rsidP="003B40DD">
      <w:pPr>
        <w:pStyle w:val="CrossRef"/>
      </w:pPr>
      <w:r w:rsidRPr="005B3ABD">
        <w:t>(https://eur-lex.europa.eu/legal-content/EN/TXT/?uri=CELEX:32013R1308)</w:t>
      </w:r>
    </w:p>
    <w:p w14:paraId="5BE3B93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A444D63" w14:textId="77777777" w:rsidR="003B40DD" w:rsidRPr="005B3ABD" w:rsidRDefault="003B40DD" w:rsidP="003B40DD">
      <w:pPr>
        <w:pStyle w:val="Normal12Italic"/>
      </w:pPr>
      <w:r w:rsidRPr="005B3ABD">
        <w:t>It is important to reinforce the system that protects any protected designation of origin or protected geographical indication in the wine sector when used as ingredients in a food product. This type of provision already exists in Regulation No 1151/2012 on quality schemes for agricultural products and foodstuffs.</w:t>
      </w:r>
    </w:p>
    <w:p w14:paraId="3959BED5" w14:textId="77777777" w:rsidR="003B40DD" w:rsidRPr="005B3ABD" w:rsidRDefault="003B40DD" w:rsidP="003B40DD">
      <w:r w:rsidRPr="005B3ABD">
        <w:rPr>
          <w:rStyle w:val="HideTWBExt"/>
          <w:noProof w:val="0"/>
          <w:color w:val="auto"/>
        </w:rPr>
        <w:t>&lt;/Amend&gt;</w:t>
      </w:r>
    </w:p>
    <w:p w14:paraId="0CB7DE0D"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34</w:t>
      </w:r>
      <w:r w:rsidRPr="005B3ABD">
        <w:rPr>
          <w:rStyle w:val="HideTWBExt"/>
          <w:b w:val="0"/>
          <w:noProof w:val="0"/>
          <w:color w:val="auto"/>
        </w:rPr>
        <w:t>&lt;/NumAm&gt;</w:t>
      </w:r>
    </w:p>
    <w:p w14:paraId="04CE3F9D"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76B27EC"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13 c (new)</w:t>
      </w:r>
      <w:r w:rsidRPr="005B3ABD">
        <w:rPr>
          <w:rStyle w:val="HideTWBExt"/>
          <w:b w:val="0"/>
          <w:noProof w:val="0"/>
          <w:color w:val="auto"/>
        </w:rPr>
        <w:t>&lt;/Article&gt;</w:t>
      </w:r>
    </w:p>
    <w:p w14:paraId="64E78A4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1B0EE9C" w14:textId="77777777" w:rsidR="003B40DD" w:rsidRPr="005B3ABD" w:rsidRDefault="003B40DD" w:rsidP="003B40DD">
      <w:r w:rsidRPr="005B3ABD">
        <w:rPr>
          <w:rStyle w:val="HideTWBExt"/>
          <w:noProof w:val="0"/>
          <w:color w:val="auto"/>
        </w:rPr>
        <w:t>&lt;Article2&gt;</w:t>
      </w:r>
      <w:r w:rsidRPr="005B3ABD">
        <w:t>Article 103 – paragraph 2 – point d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92275D3" w14:textId="77777777" w:rsidTr="00882D36">
        <w:trPr>
          <w:jc w:val="center"/>
        </w:trPr>
        <w:tc>
          <w:tcPr>
            <w:tcW w:w="9752" w:type="dxa"/>
            <w:gridSpan w:val="2"/>
          </w:tcPr>
          <w:p w14:paraId="1BBE9337" w14:textId="77777777" w:rsidR="003B40DD" w:rsidRPr="005B3ABD" w:rsidRDefault="003B40DD" w:rsidP="00882D36">
            <w:pPr>
              <w:keepNext/>
            </w:pPr>
          </w:p>
        </w:tc>
      </w:tr>
      <w:tr w:rsidR="003B40DD" w:rsidRPr="005B3ABD" w14:paraId="7A43ED1C" w14:textId="77777777" w:rsidTr="00882D36">
        <w:trPr>
          <w:jc w:val="center"/>
        </w:trPr>
        <w:tc>
          <w:tcPr>
            <w:tcW w:w="4876" w:type="dxa"/>
          </w:tcPr>
          <w:p w14:paraId="3A0F1F7B" w14:textId="77777777" w:rsidR="003B40DD" w:rsidRPr="005B3ABD" w:rsidRDefault="003B40DD" w:rsidP="00882D36">
            <w:pPr>
              <w:pStyle w:val="ColumnHeading"/>
              <w:keepNext/>
              <w:rPr>
                <w:color w:val="0000FA"/>
              </w:rPr>
            </w:pPr>
            <w:r w:rsidRPr="005B3ABD">
              <w:t>Text proposed by the Commission</w:t>
            </w:r>
          </w:p>
        </w:tc>
        <w:tc>
          <w:tcPr>
            <w:tcW w:w="4876" w:type="dxa"/>
          </w:tcPr>
          <w:p w14:paraId="71378706" w14:textId="77777777" w:rsidR="003B40DD" w:rsidRPr="005B3ABD" w:rsidRDefault="003B40DD" w:rsidP="00882D36">
            <w:pPr>
              <w:pStyle w:val="ColumnHeading"/>
              <w:keepNext/>
              <w:rPr>
                <w:color w:val="0000F5"/>
              </w:rPr>
            </w:pPr>
            <w:r w:rsidRPr="005B3ABD">
              <w:t>Amendment</w:t>
            </w:r>
          </w:p>
        </w:tc>
      </w:tr>
      <w:tr w:rsidR="003B40DD" w:rsidRPr="005B3ABD" w14:paraId="7A6D5A9B" w14:textId="77777777" w:rsidTr="00882D36">
        <w:trPr>
          <w:jc w:val="center"/>
        </w:trPr>
        <w:tc>
          <w:tcPr>
            <w:tcW w:w="4876" w:type="dxa"/>
          </w:tcPr>
          <w:p w14:paraId="1AEC35CC" w14:textId="77777777" w:rsidR="003B40DD" w:rsidRPr="005B3ABD" w:rsidRDefault="003B40DD" w:rsidP="00882D36">
            <w:pPr>
              <w:pStyle w:val="Normal6"/>
              <w:rPr>
                <w:color w:val="0000FA"/>
              </w:rPr>
            </w:pPr>
          </w:p>
        </w:tc>
        <w:tc>
          <w:tcPr>
            <w:tcW w:w="4876" w:type="dxa"/>
          </w:tcPr>
          <w:p w14:paraId="72D898DD" w14:textId="77777777" w:rsidR="003B40DD" w:rsidRPr="005B3ABD" w:rsidRDefault="003B40DD" w:rsidP="00882D36">
            <w:pPr>
              <w:pStyle w:val="Normal6"/>
              <w:rPr>
                <w:color w:val="000005"/>
                <w:szCs w:val="24"/>
              </w:rPr>
            </w:pPr>
            <w:r w:rsidRPr="005B3ABD">
              <w:rPr>
                <w:b/>
                <w:i/>
              </w:rPr>
              <w:t>(13 c)</w:t>
            </w:r>
            <w:r w:rsidRPr="005B3ABD">
              <w:rPr>
                <w:b/>
                <w:i/>
              </w:rPr>
              <w:tab/>
              <w:t>In Article 103, paragraph 2, the following point is inserted:</w:t>
            </w:r>
          </w:p>
        </w:tc>
      </w:tr>
      <w:tr w:rsidR="003B40DD" w:rsidRPr="005B3ABD" w14:paraId="5CDD82D8" w14:textId="77777777" w:rsidTr="00882D36">
        <w:trPr>
          <w:jc w:val="center"/>
        </w:trPr>
        <w:tc>
          <w:tcPr>
            <w:tcW w:w="4876" w:type="dxa"/>
          </w:tcPr>
          <w:p w14:paraId="5039E41E" w14:textId="77777777" w:rsidR="003B40DD" w:rsidRPr="005B3ABD" w:rsidRDefault="003B40DD" w:rsidP="00882D36">
            <w:pPr>
              <w:pStyle w:val="Normal6"/>
              <w:rPr>
                <w:color w:val="0000FA"/>
              </w:rPr>
            </w:pPr>
          </w:p>
        </w:tc>
        <w:tc>
          <w:tcPr>
            <w:tcW w:w="4876" w:type="dxa"/>
          </w:tcPr>
          <w:p w14:paraId="57F13DD2" w14:textId="77777777" w:rsidR="003B40DD" w:rsidRPr="005B3ABD" w:rsidRDefault="003B40DD" w:rsidP="00882D36">
            <w:pPr>
              <w:pStyle w:val="Normal6"/>
              <w:rPr>
                <w:szCs w:val="24"/>
              </w:rPr>
            </w:pPr>
            <w:r w:rsidRPr="005B3ABD">
              <w:rPr>
                <w:b/>
                <w:i/>
              </w:rPr>
              <w:t>(d a) any indication, in bad faith, of a domain name that is similar or that may be confused, in full or in part, with a protected name.</w:t>
            </w:r>
          </w:p>
        </w:tc>
      </w:tr>
    </w:tbl>
    <w:p w14:paraId="38F1855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495318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A99B022" w14:textId="77777777" w:rsidR="003B40DD" w:rsidRPr="005B3ABD" w:rsidRDefault="003B40DD" w:rsidP="003B40DD">
      <w:pPr>
        <w:pStyle w:val="Normal12Italic"/>
      </w:pPr>
      <w:r w:rsidRPr="005B3ABD">
        <w:t>It is important to reinforce the protection system for geographical indications on the Internet in addition to existing legislation. This applies in particular to the protection of domain names.</w:t>
      </w:r>
    </w:p>
    <w:p w14:paraId="4506C2A5" w14:textId="77777777" w:rsidR="003B40DD" w:rsidRPr="005B3ABD" w:rsidRDefault="003B40DD" w:rsidP="003B40DD">
      <w:r w:rsidRPr="005B3ABD">
        <w:rPr>
          <w:rStyle w:val="HideTWBExt"/>
          <w:noProof w:val="0"/>
          <w:color w:val="auto"/>
        </w:rPr>
        <w:t>&lt;/Amend&gt;</w:t>
      </w:r>
    </w:p>
    <w:p w14:paraId="4C9CE8AB"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35</w:t>
      </w:r>
      <w:r w:rsidRPr="005B3ABD">
        <w:rPr>
          <w:rStyle w:val="HideTWBExt"/>
          <w:b w:val="0"/>
          <w:noProof w:val="0"/>
          <w:color w:val="auto"/>
        </w:rPr>
        <w:t>&lt;/NumAm&gt;</w:t>
      </w:r>
    </w:p>
    <w:p w14:paraId="3A96BD64"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3EC73EE"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17</w:t>
      </w:r>
      <w:r w:rsidRPr="005B3ABD">
        <w:rPr>
          <w:rStyle w:val="HideTWBExt"/>
          <w:b w:val="0"/>
          <w:noProof w:val="0"/>
          <w:color w:val="auto"/>
        </w:rPr>
        <w:t>&lt;/Article&gt;</w:t>
      </w:r>
    </w:p>
    <w:p w14:paraId="612839B1"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F3A1909" w14:textId="77777777" w:rsidR="003B40DD" w:rsidRPr="005B3ABD" w:rsidRDefault="003B40DD" w:rsidP="003B40DD">
      <w:r w:rsidRPr="005B3ABD">
        <w:rPr>
          <w:rStyle w:val="HideTWBExt"/>
          <w:noProof w:val="0"/>
          <w:color w:val="auto"/>
        </w:rPr>
        <w:t>&lt;Article2&gt;</w:t>
      </w:r>
      <w:r w:rsidRPr="005B3ABD">
        <w:t>Article 116a – paragraph 3 a (new)</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C343C74" w14:textId="77777777" w:rsidTr="00882D36">
        <w:trPr>
          <w:jc w:val="center"/>
        </w:trPr>
        <w:tc>
          <w:tcPr>
            <w:tcW w:w="9752" w:type="dxa"/>
            <w:gridSpan w:val="2"/>
          </w:tcPr>
          <w:p w14:paraId="52DF5106" w14:textId="77777777" w:rsidR="003B40DD" w:rsidRPr="005B3ABD" w:rsidRDefault="003B40DD" w:rsidP="00882D36">
            <w:pPr>
              <w:keepNext/>
            </w:pPr>
          </w:p>
        </w:tc>
      </w:tr>
      <w:tr w:rsidR="003B40DD" w:rsidRPr="005B3ABD" w14:paraId="64E58E77" w14:textId="77777777" w:rsidTr="00882D36">
        <w:trPr>
          <w:jc w:val="center"/>
        </w:trPr>
        <w:tc>
          <w:tcPr>
            <w:tcW w:w="4876" w:type="dxa"/>
          </w:tcPr>
          <w:p w14:paraId="5B000FD9" w14:textId="77777777" w:rsidR="003B40DD" w:rsidRPr="005B3ABD" w:rsidRDefault="003B40DD" w:rsidP="00882D36">
            <w:pPr>
              <w:pStyle w:val="ColumnHeading"/>
              <w:keepNext/>
              <w:rPr>
                <w:color w:val="0000FA"/>
              </w:rPr>
            </w:pPr>
            <w:r w:rsidRPr="005B3ABD">
              <w:t>Text proposed by the Commission</w:t>
            </w:r>
          </w:p>
        </w:tc>
        <w:tc>
          <w:tcPr>
            <w:tcW w:w="4876" w:type="dxa"/>
          </w:tcPr>
          <w:p w14:paraId="2C6CCC47" w14:textId="77777777" w:rsidR="003B40DD" w:rsidRPr="005B3ABD" w:rsidRDefault="003B40DD" w:rsidP="00882D36">
            <w:pPr>
              <w:pStyle w:val="ColumnHeading"/>
              <w:keepNext/>
              <w:rPr>
                <w:color w:val="0000F5"/>
              </w:rPr>
            </w:pPr>
            <w:r w:rsidRPr="005B3ABD">
              <w:t>Amendment</w:t>
            </w:r>
          </w:p>
        </w:tc>
      </w:tr>
      <w:tr w:rsidR="003B40DD" w:rsidRPr="005B3ABD" w14:paraId="7BCB1D8C" w14:textId="77777777" w:rsidTr="00882D36">
        <w:trPr>
          <w:jc w:val="center"/>
        </w:trPr>
        <w:tc>
          <w:tcPr>
            <w:tcW w:w="4876" w:type="dxa"/>
          </w:tcPr>
          <w:p w14:paraId="559760CB" w14:textId="77777777" w:rsidR="003B40DD" w:rsidRPr="005B3ABD" w:rsidRDefault="003B40DD" w:rsidP="00882D36">
            <w:pPr>
              <w:pStyle w:val="Normal6"/>
              <w:rPr>
                <w:color w:val="0000FA"/>
              </w:rPr>
            </w:pPr>
          </w:p>
        </w:tc>
        <w:tc>
          <w:tcPr>
            <w:tcW w:w="4876" w:type="dxa"/>
          </w:tcPr>
          <w:p w14:paraId="2B69255D" w14:textId="77777777" w:rsidR="003B40DD" w:rsidRPr="005B3ABD" w:rsidRDefault="003B40DD" w:rsidP="00882D36">
            <w:pPr>
              <w:pStyle w:val="Normal6"/>
              <w:rPr>
                <w:szCs w:val="24"/>
              </w:rPr>
            </w:pPr>
            <w:r w:rsidRPr="005B3ABD">
              <w:rPr>
                <w:b/>
                <w:i/>
              </w:rPr>
              <w:t xml:space="preserve">3 a. To verify compliance with product specifications, the competent authorities or control bodies referred to in Article 90(3) of Regulation (EU) No 1306/2013 may audit operators established in another Member State if they intervene in the conditioning of a product bearing a PDO registered on their territory. Considering the trust that they may place in operators and their products with regard to the results of previous verifications, the control bodies referred to in Article 90(3) of Regulation (EU) No 1306/2013 may focus their actions on the </w:t>
            </w:r>
            <w:r w:rsidRPr="005B3ABD">
              <w:rPr>
                <w:b/>
                <w:i/>
              </w:rPr>
              <w:lastRenderedPageBreak/>
              <w:t>main aspects to be verified in the product specifications previously defined and brought to the attention of those operators.</w:t>
            </w:r>
          </w:p>
        </w:tc>
      </w:tr>
    </w:tbl>
    <w:p w14:paraId="3A398FFA"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D55371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92E91CB" w14:textId="77777777" w:rsidR="003B40DD" w:rsidRPr="005B3ABD" w:rsidRDefault="003B40DD" w:rsidP="003B40DD">
      <w:pPr>
        <w:pStyle w:val="Normal12Italic"/>
      </w:pPr>
      <w:r w:rsidRPr="005B3ABD">
        <w:t>There are currently certain deficiencies in the verification of PDO wines once they leave the Member State in which they are produced. Wine control bodies must be able to carry out or to commission verifications in another Member State so as to limit fraud and ensure that consumers get authentic products.</w:t>
      </w:r>
    </w:p>
    <w:p w14:paraId="6A9BF3EE" w14:textId="77777777" w:rsidR="003B40DD" w:rsidRPr="005B3ABD" w:rsidRDefault="003B40DD" w:rsidP="003B40DD">
      <w:r w:rsidRPr="005B3ABD">
        <w:rPr>
          <w:rStyle w:val="HideTWBExt"/>
          <w:noProof w:val="0"/>
          <w:color w:val="auto"/>
        </w:rPr>
        <w:t>&lt;/Amend&gt;</w:t>
      </w:r>
    </w:p>
    <w:p w14:paraId="49BC1AC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36</w:t>
      </w:r>
      <w:r w:rsidRPr="005B3ABD">
        <w:rPr>
          <w:rStyle w:val="HideTWBExt"/>
          <w:b w:val="0"/>
          <w:noProof w:val="0"/>
          <w:color w:val="auto"/>
        </w:rPr>
        <w:t>&lt;/NumAm&gt;</w:t>
      </w:r>
    </w:p>
    <w:p w14:paraId="505D037D"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B5BA42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18 – point a a (new)</w:t>
      </w:r>
      <w:r w:rsidRPr="005B3ABD">
        <w:rPr>
          <w:rStyle w:val="HideTWBExt"/>
          <w:b w:val="0"/>
          <w:noProof w:val="0"/>
          <w:color w:val="auto"/>
        </w:rPr>
        <w:t>&lt;/Article&gt;</w:t>
      </w:r>
    </w:p>
    <w:p w14:paraId="25B572E4"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D055EEF" w14:textId="77777777" w:rsidR="003B40DD" w:rsidRPr="005B3ABD" w:rsidRDefault="003B40DD" w:rsidP="003B40DD">
      <w:r w:rsidRPr="005B3ABD">
        <w:rPr>
          <w:rStyle w:val="HideTWBExt"/>
          <w:noProof w:val="0"/>
          <w:color w:val="auto"/>
        </w:rPr>
        <w:t>&lt;Article2&gt;</w:t>
      </w:r>
      <w:r w:rsidRPr="005B3ABD">
        <w:t>Article 119 – paragraph 1 – point g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49ED319" w14:textId="77777777" w:rsidTr="00882D36">
        <w:trPr>
          <w:jc w:val="center"/>
        </w:trPr>
        <w:tc>
          <w:tcPr>
            <w:tcW w:w="9752" w:type="dxa"/>
            <w:gridSpan w:val="2"/>
          </w:tcPr>
          <w:p w14:paraId="1217C2F4" w14:textId="77777777" w:rsidR="003B40DD" w:rsidRPr="005B3ABD" w:rsidRDefault="003B40DD" w:rsidP="00882D36">
            <w:pPr>
              <w:keepNext/>
            </w:pPr>
          </w:p>
        </w:tc>
      </w:tr>
      <w:tr w:rsidR="003B40DD" w:rsidRPr="005B3ABD" w14:paraId="18001AF7" w14:textId="77777777" w:rsidTr="00882D36">
        <w:trPr>
          <w:jc w:val="center"/>
        </w:trPr>
        <w:tc>
          <w:tcPr>
            <w:tcW w:w="4876" w:type="dxa"/>
          </w:tcPr>
          <w:p w14:paraId="4C15325C" w14:textId="77777777" w:rsidR="003B40DD" w:rsidRPr="005B3ABD" w:rsidRDefault="003B40DD" w:rsidP="00882D36">
            <w:pPr>
              <w:pStyle w:val="ColumnHeading"/>
              <w:keepNext/>
              <w:rPr>
                <w:color w:val="0000FA"/>
              </w:rPr>
            </w:pPr>
            <w:r w:rsidRPr="005B3ABD">
              <w:t>Text proposed by the Commission</w:t>
            </w:r>
          </w:p>
        </w:tc>
        <w:tc>
          <w:tcPr>
            <w:tcW w:w="4876" w:type="dxa"/>
          </w:tcPr>
          <w:p w14:paraId="6439C9D0" w14:textId="77777777" w:rsidR="003B40DD" w:rsidRPr="005B3ABD" w:rsidRDefault="003B40DD" w:rsidP="00882D36">
            <w:pPr>
              <w:pStyle w:val="ColumnHeading"/>
              <w:keepNext/>
              <w:rPr>
                <w:color w:val="0000F5"/>
              </w:rPr>
            </w:pPr>
            <w:r w:rsidRPr="005B3ABD">
              <w:t>Amendment</w:t>
            </w:r>
          </w:p>
        </w:tc>
      </w:tr>
      <w:tr w:rsidR="003B40DD" w:rsidRPr="005B3ABD" w14:paraId="1614246D" w14:textId="77777777" w:rsidTr="00882D36">
        <w:trPr>
          <w:jc w:val="center"/>
        </w:trPr>
        <w:tc>
          <w:tcPr>
            <w:tcW w:w="4876" w:type="dxa"/>
          </w:tcPr>
          <w:p w14:paraId="57172682" w14:textId="77777777" w:rsidR="003B40DD" w:rsidRPr="005B3ABD" w:rsidRDefault="003B40DD" w:rsidP="00882D36">
            <w:pPr>
              <w:pStyle w:val="Normal6"/>
              <w:rPr>
                <w:color w:val="0000FA"/>
              </w:rPr>
            </w:pPr>
          </w:p>
        </w:tc>
        <w:tc>
          <w:tcPr>
            <w:tcW w:w="4876" w:type="dxa"/>
          </w:tcPr>
          <w:p w14:paraId="2E2D2C95" w14:textId="77777777" w:rsidR="003B40DD" w:rsidRPr="005B3ABD" w:rsidRDefault="003B40DD" w:rsidP="00882D36">
            <w:pPr>
              <w:pStyle w:val="Normal6"/>
              <w:rPr>
                <w:color w:val="000005"/>
                <w:szCs w:val="24"/>
              </w:rPr>
            </w:pPr>
            <w:r w:rsidRPr="005B3ABD">
              <w:rPr>
                <w:b/>
                <w:i/>
              </w:rPr>
              <w:t>(a a)</w:t>
            </w:r>
            <w:r w:rsidRPr="005B3ABD">
              <w:rPr>
                <w:b/>
                <w:i/>
              </w:rPr>
              <w:tab/>
              <w:t>in paragraph 1 the following point is added</w:t>
            </w:r>
          </w:p>
        </w:tc>
      </w:tr>
      <w:tr w:rsidR="003B40DD" w:rsidRPr="005B3ABD" w14:paraId="48B49E70" w14:textId="77777777" w:rsidTr="00882D36">
        <w:trPr>
          <w:jc w:val="center"/>
        </w:trPr>
        <w:tc>
          <w:tcPr>
            <w:tcW w:w="4876" w:type="dxa"/>
          </w:tcPr>
          <w:p w14:paraId="1DC62A57" w14:textId="77777777" w:rsidR="003B40DD" w:rsidRPr="005B3ABD" w:rsidRDefault="003B40DD" w:rsidP="00882D36">
            <w:pPr>
              <w:pStyle w:val="Normal6"/>
              <w:rPr>
                <w:color w:val="0000FA"/>
              </w:rPr>
            </w:pPr>
          </w:p>
        </w:tc>
        <w:tc>
          <w:tcPr>
            <w:tcW w:w="4876" w:type="dxa"/>
          </w:tcPr>
          <w:p w14:paraId="5652FCAF" w14:textId="77777777" w:rsidR="003B40DD" w:rsidRPr="005B3ABD" w:rsidRDefault="003B40DD" w:rsidP="00882D36">
            <w:pPr>
              <w:pStyle w:val="Normal6"/>
              <w:rPr>
                <w:szCs w:val="24"/>
              </w:rPr>
            </w:pPr>
            <w:r w:rsidRPr="005B3ABD">
              <w:rPr>
                <w:b/>
                <w:i/>
              </w:rPr>
              <w:t>(g a) the nutrition declaration of which the content may be limited to energy value only</w:t>
            </w:r>
          </w:p>
        </w:tc>
      </w:tr>
    </w:tbl>
    <w:p w14:paraId="542F18D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DD9988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FBD160A" w14:textId="77777777" w:rsidR="003B40DD" w:rsidRPr="005B3ABD" w:rsidRDefault="003B40DD" w:rsidP="003B40DD">
      <w:pPr>
        <w:pStyle w:val="Normal12Italic"/>
      </w:pPr>
      <w:r w:rsidRPr="005B3ABD">
        <w:t>It is mandatory to state the energy value of wines on the label.</w:t>
      </w:r>
    </w:p>
    <w:p w14:paraId="64032A70" w14:textId="77777777" w:rsidR="003B40DD" w:rsidRPr="005B3ABD" w:rsidRDefault="003B40DD" w:rsidP="003B40DD">
      <w:r w:rsidRPr="005B3ABD">
        <w:rPr>
          <w:rStyle w:val="HideTWBExt"/>
          <w:noProof w:val="0"/>
          <w:color w:val="auto"/>
        </w:rPr>
        <w:t>&lt;/Amend&gt;</w:t>
      </w:r>
    </w:p>
    <w:p w14:paraId="73E8B6B1"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37</w:t>
      </w:r>
      <w:r w:rsidRPr="005B3ABD">
        <w:rPr>
          <w:rStyle w:val="HideTWBExt"/>
          <w:b w:val="0"/>
          <w:noProof w:val="0"/>
          <w:color w:val="auto"/>
        </w:rPr>
        <w:t>&lt;/NumAm&gt;</w:t>
      </w:r>
    </w:p>
    <w:p w14:paraId="41B59F0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FA2E42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18 – point a b (new)</w:t>
      </w:r>
      <w:r w:rsidRPr="005B3ABD">
        <w:rPr>
          <w:rStyle w:val="HideTWBExt"/>
          <w:b w:val="0"/>
          <w:noProof w:val="0"/>
          <w:color w:val="auto"/>
        </w:rPr>
        <w:t>&lt;/Article&gt;</w:t>
      </w:r>
    </w:p>
    <w:p w14:paraId="571680E1"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55B2F40" w14:textId="77777777" w:rsidR="003B40DD" w:rsidRPr="005B3ABD" w:rsidRDefault="003B40DD" w:rsidP="003B40DD">
      <w:r w:rsidRPr="005B3ABD">
        <w:rPr>
          <w:rStyle w:val="HideTWBExt"/>
          <w:noProof w:val="0"/>
          <w:color w:val="auto"/>
        </w:rPr>
        <w:t>&lt;Article2&gt;</w:t>
      </w:r>
      <w:r w:rsidRPr="005B3ABD">
        <w:t>Article 119 – paragraph 1 – point g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CA76AC7" w14:textId="77777777" w:rsidTr="00882D36">
        <w:trPr>
          <w:jc w:val="center"/>
        </w:trPr>
        <w:tc>
          <w:tcPr>
            <w:tcW w:w="9752" w:type="dxa"/>
            <w:gridSpan w:val="2"/>
          </w:tcPr>
          <w:p w14:paraId="66307939" w14:textId="77777777" w:rsidR="003B40DD" w:rsidRPr="005B3ABD" w:rsidRDefault="003B40DD" w:rsidP="00882D36">
            <w:pPr>
              <w:keepNext/>
            </w:pPr>
          </w:p>
        </w:tc>
      </w:tr>
      <w:tr w:rsidR="003B40DD" w:rsidRPr="005B3ABD" w14:paraId="085B6A0D" w14:textId="77777777" w:rsidTr="00882D36">
        <w:trPr>
          <w:jc w:val="center"/>
        </w:trPr>
        <w:tc>
          <w:tcPr>
            <w:tcW w:w="4876" w:type="dxa"/>
          </w:tcPr>
          <w:p w14:paraId="6DB843C9" w14:textId="77777777" w:rsidR="003B40DD" w:rsidRPr="005B3ABD" w:rsidRDefault="003B40DD" w:rsidP="00882D36">
            <w:pPr>
              <w:pStyle w:val="ColumnHeading"/>
              <w:keepNext/>
              <w:rPr>
                <w:color w:val="0000FA"/>
              </w:rPr>
            </w:pPr>
            <w:r w:rsidRPr="005B3ABD">
              <w:t>Text proposed by the Commission</w:t>
            </w:r>
          </w:p>
        </w:tc>
        <w:tc>
          <w:tcPr>
            <w:tcW w:w="4876" w:type="dxa"/>
          </w:tcPr>
          <w:p w14:paraId="510D5AA6" w14:textId="77777777" w:rsidR="003B40DD" w:rsidRPr="005B3ABD" w:rsidRDefault="003B40DD" w:rsidP="00882D36">
            <w:pPr>
              <w:pStyle w:val="ColumnHeading"/>
              <w:keepNext/>
              <w:rPr>
                <w:color w:val="0000F5"/>
              </w:rPr>
            </w:pPr>
            <w:r w:rsidRPr="005B3ABD">
              <w:t>Amendment</w:t>
            </w:r>
          </w:p>
        </w:tc>
      </w:tr>
      <w:tr w:rsidR="003B40DD" w:rsidRPr="005B3ABD" w14:paraId="6E997AA5" w14:textId="77777777" w:rsidTr="00882D36">
        <w:trPr>
          <w:jc w:val="center"/>
        </w:trPr>
        <w:tc>
          <w:tcPr>
            <w:tcW w:w="4876" w:type="dxa"/>
          </w:tcPr>
          <w:p w14:paraId="36001CBC" w14:textId="77777777" w:rsidR="003B40DD" w:rsidRPr="005B3ABD" w:rsidRDefault="003B40DD" w:rsidP="00882D36">
            <w:pPr>
              <w:pStyle w:val="Normal6"/>
              <w:rPr>
                <w:color w:val="0000FA"/>
              </w:rPr>
            </w:pPr>
          </w:p>
        </w:tc>
        <w:tc>
          <w:tcPr>
            <w:tcW w:w="4876" w:type="dxa"/>
          </w:tcPr>
          <w:p w14:paraId="3D5B31FD" w14:textId="77777777" w:rsidR="003B40DD" w:rsidRPr="005B3ABD" w:rsidRDefault="003B40DD" w:rsidP="00882D36">
            <w:pPr>
              <w:pStyle w:val="Normal6"/>
              <w:rPr>
                <w:color w:val="000005"/>
                <w:szCs w:val="24"/>
              </w:rPr>
            </w:pPr>
            <w:r w:rsidRPr="005B3ABD">
              <w:rPr>
                <w:b/>
                <w:i/>
              </w:rPr>
              <w:t>(a b)</w:t>
            </w:r>
            <w:r w:rsidRPr="005B3ABD">
              <w:rPr>
                <w:b/>
                <w:i/>
              </w:rPr>
              <w:tab/>
              <w:t xml:space="preserve">in paragraph 1, the following </w:t>
            </w:r>
            <w:r w:rsidRPr="005B3ABD">
              <w:rPr>
                <w:b/>
                <w:i/>
              </w:rPr>
              <w:lastRenderedPageBreak/>
              <w:t>point is added:</w:t>
            </w:r>
          </w:p>
        </w:tc>
      </w:tr>
      <w:tr w:rsidR="003B40DD" w:rsidRPr="005B3ABD" w14:paraId="79958367" w14:textId="77777777" w:rsidTr="00882D36">
        <w:trPr>
          <w:jc w:val="center"/>
        </w:trPr>
        <w:tc>
          <w:tcPr>
            <w:tcW w:w="4876" w:type="dxa"/>
          </w:tcPr>
          <w:p w14:paraId="1102ED93" w14:textId="77777777" w:rsidR="003B40DD" w:rsidRPr="005B3ABD" w:rsidRDefault="003B40DD" w:rsidP="00882D36">
            <w:pPr>
              <w:pStyle w:val="Normal6"/>
              <w:rPr>
                <w:color w:val="0000FA"/>
              </w:rPr>
            </w:pPr>
          </w:p>
        </w:tc>
        <w:tc>
          <w:tcPr>
            <w:tcW w:w="4876" w:type="dxa"/>
          </w:tcPr>
          <w:p w14:paraId="3860EDF4" w14:textId="77777777" w:rsidR="003B40DD" w:rsidRPr="005B3ABD" w:rsidRDefault="003B40DD" w:rsidP="00882D36">
            <w:pPr>
              <w:pStyle w:val="Normal6"/>
              <w:rPr>
                <w:szCs w:val="24"/>
              </w:rPr>
            </w:pPr>
            <w:r w:rsidRPr="005B3ABD">
              <w:rPr>
                <w:b/>
                <w:i/>
              </w:rPr>
              <w:t>(g b) the list of ingredients;</w:t>
            </w:r>
          </w:p>
        </w:tc>
      </w:tr>
    </w:tbl>
    <w:p w14:paraId="77DEF77B"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FC92DA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3E874BF" w14:textId="77777777" w:rsidR="003B40DD" w:rsidRPr="005B3ABD" w:rsidRDefault="003B40DD" w:rsidP="003B40DD">
      <w:pPr>
        <w:pStyle w:val="Normal12Italic"/>
      </w:pPr>
      <w:r w:rsidRPr="005B3ABD">
        <w:t>It is mandatory to state the list of ingredients of a wine on the label.</w:t>
      </w:r>
    </w:p>
    <w:p w14:paraId="27D39583" w14:textId="77777777" w:rsidR="003B40DD" w:rsidRPr="005B3ABD" w:rsidRDefault="003B40DD" w:rsidP="003B40DD">
      <w:r w:rsidRPr="005B3ABD">
        <w:rPr>
          <w:rStyle w:val="HideTWBExt"/>
          <w:noProof w:val="0"/>
          <w:color w:val="auto"/>
        </w:rPr>
        <w:t>&lt;/Amend&gt;</w:t>
      </w:r>
    </w:p>
    <w:p w14:paraId="6BFF102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38</w:t>
      </w:r>
      <w:r w:rsidRPr="005B3ABD">
        <w:rPr>
          <w:rStyle w:val="HideTWBExt"/>
          <w:b w:val="0"/>
          <w:noProof w:val="0"/>
          <w:color w:val="auto"/>
        </w:rPr>
        <w:t>&lt;/NumAm&gt;</w:t>
      </w:r>
    </w:p>
    <w:p w14:paraId="331ACA22"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5C955D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18 – point a c (new)</w:t>
      </w:r>
      <w:r w:rsidRPr="005B3ABD">
        <w:rPr>
          <w:rStyle w:val="HideTWBExt"/>
          <w:b w:val="0"/>
          <w:noProof w:val="0"/>
          <w:color w:val="auto"/>
        </w:rPr>
        <w:t>&lt;/Article&gt;</w:t>
      </w:r>
    </w:p>
    <w:p w14:paraId="37EEEAA1"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63ABEDF0" w14:textId="77777777" w:rsidR="003B40DD" w:rsidRPr="005B3ABD" w:rsidRDefault="003B40DD" w:rsidP="003B40DD">
      <w:r w:rsidRPr="005B3ABD">
        <w:rPr>
          <w:rStyle w:val="HideTWBExt"/>
          <w:noProof w:val="0"/>
          <w:color w:val="auto"/>
        </w:rPr>
        <w:t>&lt;Article2&gt;</w:t>
      </w:r>
      <w:r w:rsidRPr="005B3ABD">
        <w:t>Article 119 – paragraph 3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30443D2" w14:textId="77777777" w:rsidTr="00882D36">
        <w:trPr>
          <w:jc w:val="center"/>
        </w:trPr>
        <w:tc>
          <w:tcPr>
            <w:tcW w:w="9752" w:type="dxa"/>
            <w:gridSpan w:val="2"/>
          </w:tcPr>
          <w:p w14:paraId="55D40D04" w14:textId="77777777" w:rsidR="003B40DD" w:rsidRPr="005B3ABD" w:rsidRDefault="003B40DD" w:rsidP="00882D36">
            <w:pPr>
              <w:keepNext/>
            </w:pPr>
          </w:p>
        </w:tc>
      </w:tr>
      <w:tr w:rsidR="003B40DD" w:rsidRPr="005B3ABD" w14:paraId="794810BB" w14:textId="77777777" w:rsidTr="00882D36">
        <w:trPr>
          <w:jc w:val="center"/>
        </w:trPr>
        <w:tc>
          <w:tcPr>
            <w:tcW w:w="4876" w:type="dxa"/>
          </w:tcPr>
          <w:p w14:paraId="15AAA250" w14:textId="77777777" w:rsidR="003B40DD" w:rsidRPr="005B3ABD" w:rsidRDefault="003B40DD" w:rsidP="00882D36">
            <w:pPr>
              <w:pStyle w:val="ColumnHeading"/>
              <w:keepNext/>
              <w:rPr>
                <w:color w:val="0000FA"/>
              </w:rPr>
            </w:pPr>
            <w:r w:rsidRPr="005B3ABD">
              <w:t>Text proposed by the Commission</w:t>
            </w:r>
          </w:p>
        </w:tc>
        <w:tc>
          <w:tcPr>
            <w:tcW w:w="4876" w:type="dxa"/>
          </w:tcPr>
          <w:p w14:paraId="4E21946E" w14:textId="77777777" w:rsidR="003B40DD" w:rsidRPr="005B3ABD" w:rsidRDefault="003B40DD" w:rsidP="00882D36">
            <w:pPr>
              <w:pStyle w:val="ColumnHeading"/>
              <w:keepNext/>
              <w:rPr>
                <w:color w:val="0000F5"/>
              </w:rPr>
            </w:pPr>
            <w:r w:rsidRPr="005B3ABD">
              <w:t>Amendment</w:t>
            </w:r>
          </w:p>
        </w:tc>
      </w:tr>
      <w:tr w:rsidR="003B40DD" w:rsidRPr="005B3ABD" w14:paraId="59A5DBF0" w14:textId="77777777" w:rsidTr="00882D36">
        <w:trPr>
          <w:jc w:val="center"/>
        </w:trPr>
        <w:tc>
          <w:tcPr>
            <w:tcW w:w="4876" w:type="dxa"/>
          </w:tcPr>
          <w:p w14:paraId="5CB6CECB" w14:textId="77777777" w:rsidR="003B40DD" w:rsidRPr="005B3ABD" w:rsidRDefault="003B40DD" w:rsidP="00882D36">
            <w:pPr>
              <w:pStyle w:val="Normal6"/>
              <w:rPr>
                <w:color w:val="0000FA"/>
              </w:rPr>
            </w:pPr>
          </w:p>
        </w:tc>
        <w:tc>
          <w:tcPr>
            <w:tcW w:w="4876" w:type="dxa"/>
          </w:tcPr>
          <w:p w14:paraId="6C281B22" w14:textId="77777777" w:rsidR="003B40DD" w:rsidRPr="005B3ABD" w:rsidRDefault="003B40DD" w:rsidP="00882D36">
            <w:pPr>
              <w:pStyle w:val="Normal6"/>
              <w:rPr>
                <w:color w:val="000005"/>
                <w:szCs w:val="24"/>
              </w:rPr>
            </w:pPr>
            <w:r w:rsidRPr="005B3ABD">
              <w:rPr>
                <w:b/>
                <w:i/>
              </w:rPr>
              <w:t>(a c)</w:t>
            </w:r>
            <w:r w:rsidRPr="005B3ABD">
              <w:rPr>
                <w:b/>
                <w:i/>
              </w:rPr>
              <w:tab/>
              <w:t>the following paragraph is added:</w:t>
            </w:r>
          </w:p>
        </w:tc>
      </w:tr>
      <w:tr w:rsidR="003B40DD" w:rsidRPr="005B3ABD" w14:paraId="362721F2" w14:textId="77777777" w:rsidTr="00882D36">
        <w:trPr>
          <w:jc w:val="center"/>
        </w:trPr>
        <w:tc>
          <w:tcPr>
            <w:tcW w:w="4876" w:type="dxa"/>
          </w:tcPr>
          <w:p w14:paraId="4AF3784E" w14:textId="77777777" w:rsidR="003B40DD" w:rsidRPr="005B3ABD" w:rsidRDefault="003B40DD" w:rsidP="00882D36">
            <w:pPr>
              <w:pStyle w:val="Normal6"/>
              <w:rPr>
                <w:color w:val="0000FA"/>
              </w:rPr>
            </w:pPr>
          </w:p>
        </w:tc>
        <w:tc>
          <w:tcPr>
            <w:tcW w:w="4876" w:type="dxa"/>
          </w:tcPr>
          <w:p w14:paraId="795B144F" w14:textId="77777777" w:rsidR="003B40DD" w:rsidRPr="005B3ABD" w:rsidRDefault="003B40DD" w:rsidP="00882D36">
            <w:pPr>
              <w:pStyle w:val="Normal6"/>
              <w:rPr>
                <w:szCs w:val="24"/>
              </w:rPr>
            </w:pPr>
            <w:r w:rsidRPr="005B3ABD">
              <w:rPr>
                <w:b/>
                <w:i/>
              </w:rPr>
              <w:t>3 a. By way of derogation from paragraph 1, point (g b), the list of ingredients may also be provided in another way than on the label, on condition that a clear, direct link is indicated on the label. It may not be displayed together with other information intended for sales or marketing purposes.</w:t>
            </w:r>
          </w:p>
        </w:tc>
      </w:tr>
    </w:tbl>
    <w:p w14:paraId="164E158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C9BF8D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6A61711" w14:textId="77777777" w:rsidR="003B40DD" w:rsidRPr="005B3ABD" w:rsidRDefault="003B40DD" w:rsidP="003B40DD">
      <w:pPr>
        <w:pStyle w:val="Normal12Italic"/>
      </w:pPr>
      <w:r w:rsidRPr="005B3ABD">
        <w:t>This amendment derogates from the obligation to show the ingredients on wine bottle labels. The mandatory indication of ingredients may be done through electronic means.</w:t>
      </w:r>
    </w:p>
    <w:p w14:paraId="7CCF9B2C" w14:textId="77777777" w:rsidR="003B40DD" w:rsidRPr="005B3ABD" w:rsidRDefault="003B40DD" w:rsidP="003B40DD">
      <w:r w:rsidRPr="005B3ABD">
        <w:rPr>
          <w:rStyle w:val="HideTWBExt"/>
          <w:noProof w:val="0"/>
          <w:color w:val="auto"/>
        </w:rPr>
        <w:t>&lt;/Amend&gt;</w:t>
      </w:r>
    </w:p>
    <w:p w14:paraId="311E890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39</w:t>
      </w:r>
      <w:r w:rsidRPr="005B3ABD">
        <w:rPr>
          <w:rStyle w:val="HideTWBExt"/>
          <w:b w:val="0"/>
          <w:noProof w:val="0"/>
          <w:color w:val="auto"/>
        </w:rPr>
        <w:t>&lt;/NumAm&gt;</w:t>
      </w:r>
    </w:p>
    <w:p w14:paraId="7B7CC7B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D07557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18 – point a d (new)</w:t>
      </w:r>
      <w:r w:rsidRPr="005B3ABD">
        <w:rPr>
          <w:rStyle w:val="HideTWBExt"/>
          <w:b w:val="0"/>
          <w:noProof w:val="0"/>
          <w:color w:val="auto"/>
        </w:rPr>
        <w:t>&lt;/Article&gt;</w:t>
      </w:r>
    </w:p>
    <w:p w14:paraId="1D6735F7"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B8DF5F6" w14:textId="77777777" w:rsidR="003B40DD" w:rsidRPr="005B3ABD" w:rsidRDefault="003B40DD" w:rsidP="003B40DD">
      <w:r w:rsidRPr="005B3ABD">
        <w:rPr>
          <w:rStyle w:val="HideTWBExt"/>
          <w:noProof w:val="0"/>
          <w:color w:val="auto"/>
        </w:rPr>
        <w:t>&lt;Article2&gt;</w:t>
      </w:r>
      <w:r w:rsidRPr="005B3ABD">
        <w:t>Article 119 – paragraph 3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4D626C5" w14:textId="77777777" w:rsidTr="00882D36">
        <w:trPr>
          <w:jc w:val="center"/>
        </w:trPr>
        <w:tc>
          <w:tcPr>
            <w:tcW w:w="9752" w:type="dxa"/>
            <w:gridSpan w:val="2"/>
          </w:tcPr>
          <w:p w14:paraId="30219ECF" w14:textId="77777777" w:rsidR="003B40DD" w:rsidRPr="005B3ABD" w:rsidRDefault="003B40DD" w:rsidP="00882D36">
            <w:pPr>
              <w:keepNext/>
            </w:pPr>
          </w:p>
        </w:tc>
      </w:tr>
      <w:tr w:rsidR="003B40DD" w:rsidRPr="005B3ABD" w14:paraId="4F1BD2F4" w14:textId="77777777" w:rsidTr="00882D36">
        <w:trPr>
          <w:jc w:val="center"/>
        </w:trPr>
        <w:tc>
          <w:tcPr>
            <w:tcW w:w="4876" w:type="dxa"/>
          </w:tcPr>
          <w:p w14:paraId="769A168D" w14:textId="77777777" w:rsidR="003B40DD" w:rsidRPr="005B3ABD" w:rsidRDefault="003B40DD" w:rsidP="00882D36">
            <w:pPr>
              <w:pStyle w:val="ColumnHeading"/>
              <w:keepNext/>
              <w:rPr>
                <w:color w:val="0000FA"/>
              </w:rPr>
            </w:pPr>
            <w:r w:rsidRPr="005B3ABD">
              <w:t>Text proposed by the Commission</w:t>
            </w:r>
          </w:p>
        </w:tc>
        <w:tc>
          <w:tcPr>
            <w:tcW w:w="4876" w:type="dxa"/>
          </w:tcPr>
          <w:p w14:paraId="106007E7" w14:textId="77777777" w:rsidR="003B40DD" w:rsidRPr="005B3ABD" w:rsidRDefault="003B40DD" w:rsidP="00882D36">
            <w:pPr>
              <w:pStyle w:val="ColumnHeading"/>
              <w:keepNext/>
              <w:rPr>
                <w:color w:val="0000F5"/>
              </w:rPr>
            </w:pPr>
            <w:r w:rsidRPr="005B3ABD">
              <w:t>Amendment</w:t>
            </w:r>
          </w:p>
        </w:tc>
      </w:tr>
      <w:tr w:rsidR="003B40DD" w:rsidRPr="005B3ABD" w14:paraId="6996F819" w14:textId="77777777" w:rsidTr="00882D36">
        <w:trPr>
          <w:jc w:val="center"/>
        </w:trPr>
        <w:tc>
          <w:tcPr>
            <w:tcW w:w="4876" w:type="dxa"/>
          </w:tcPr>
          <w:p w14:paraId="7978B0A8" w14:textId="77777777" w:rsidR="003B40DD" w:rsidRPr="005B3ABD" w:rsidRDefault="003B40DD" w:rsidP="00882D36">
            <w:pPr>
              <w:pStyle w:val="Normal6"/>
              <w:rPr>
                <w:color w:val="0000FA"/>
              </w:rPr>
            </w:pPr>
          </w:p>
        </w:tc>
        <w:tc>
          <w:tcPr>
            <w:tcW w:w="4876" w:type="dxa"/>
          </w:tcPr>
          <w:p w14:paraId="261E0AF4" w14:textId="77777777" w:rsidR="003B40DD" w:rsidRPr="005B3ABD" w:rsidRDefault="003B40DD" w:rsidP="00882D36">
            <w:pPr>
              <w:pStyle w:val="Normal6"/>
              <w:rPr>
                <w:color w:val="000005"/>
                <w:szCs w:val="24"/>
              </w:rPr>
            </w:pPr>
            <w:r w:rsidRPr="005B3ABD">
              <w:rPr>
                <w:b/>
                <w:i/>
              </w:rPr>
              <w:t>(a d)</w:t>
            </w:r>
            <w:r w:rsidRPr="005B3ABD">
              <w:rPr>
                <w:b/>
                <w:i/>
              </w:rPr>
              <w:tab/>
              <w:t>the following paragraph is added:</w:t>
            </w:r>
          </w:p>
        </w:tc>
      </w:tr>
      <w:tr w:rsidR="003B40DD" w:rsidRPr="005B3ABD" w14:paraId="742C5AD9" w14:textId="77777777" w:rsidTr="00882D36">
        <w:trPr>
          <w:jc w:val="center"/>
        </w:trPr>
        <w:tc>
          <w:tcPr>
            <w:tcW w:w="4876" w:type="dxa"/>
          </w:tcPr>
          <w:p w14:paraId="5FB8BF88" w14:textId="77777777" w:rsidR="003B40DD" w:rsidRPr="005B3ABD" w:rsidRDefault="003B40DD" w:rsidP="00882D36">
            <w:pPr>
              <w:pStyle w:val="Normal6"/>
              <w:rPr>
                <w:color w:val="0000FA"/>
              </w:rPr>
            </w:pPr>
          </w:p>
        </w:tc>
        <w:tc>
          <w:tcPr>
            <w:tcW w:w="4876" w:type="dxa"/>
          </w:tcPr>
          <w:p w14:paraId="4D98A630" w14:textId="77777777" w:rsidR="003B40DD" w:rsidRPr="005B3ABD" w:rsidRDefault="003B40DD" w:rsidP="00882D36">
            <w:pPr>
              <w:pStyle w:val="Normal6"/>
              <w:rPr>
                <w:color w:val="000005"/>
                <w:szCs w:val="24"/>
              </w:rPr>
            </w:pPr>
            <w:r w:rsidRPr="005B3ABD">
              <w:rPr>
                <w:b/>
                <w:i/>
              </w:rPr>
              <w:t>3 b. To ensure a uniform application of paragraph 1, point g(a), energy value is given per 100 ml. It may also be expressed per portion or unit, provided that the portion or unit is quantified and that the number of portions or units that the product contains, is indicated on the packaging. Energy value is:</w:t>
            </w:r>
          </w:p>
        </w:tc>
      </w:tr>
      <w:tr w:rsidR="003B40DD" w:rsidRPr="005B3ABD" w14:paraId="6F94E61D" w14:textId="77777777" w:rsidTr="00882D36">
        <w:trPr>
          <w:jc w:val="center"/>
        </w:trPr>
        <w:tc>
          <w:tcPr>
            <w:tcW w:w="4876" w:type="dxa"/>
          </w:tcPr>
          <w:p w14:paraId="64A627BF" w14:textId="77777777" w:rsidR="003B40DD" w:rsidRPr="005B3ABD" w:rsidRDefault="003B40DD" w:rsidP="00882D36">
            <w:pPr>
              <w:pStyle w:val="Normal6"/>
              <w:rPr>
                <w:color w:val="0000FA"/>
              </w:rPr>
            </w:pPr>
          </w:p>
        </w:tc>
        <w:tc>
          <w:tcPr>
            <w:tcW w:w="4876" w:type="dxa"/>
          </w:tcPr>
          <w:p w14:paraId="554FC066" w14:textId="77777777" w:rsidR="003B40DD" w:rsidRPr="005B3ABD" w:rsidRDefault="003B40DD" w:rsidP="00882D36">
            <w:pPr>
              <w:pStyle w:val="Normal6"/>
              <w:rPr>
                <w:color w:val="000005"/>
                <w:szCs w:val="24"/>
              </w:rPr>
            </w:pPr>
            <w:r w:rsidRPr="005B3ABD">
              <w:rPr>
                <w:b/>
                <w:i/>
              </w:rPr>
              <w:t>(a) calculated using conversion coefficients taken from Annex XIV of Regulation 1169/2011 on the provision of food information to consumers.</w:t>
            </w:r>
          </w:p>
        </w:tc>
      </w:tr>
      <w:tr w:rsidR="003B40DD" w:rsidRPr="005B3ABD" w14:paraId="21EBEAAA" w14:textId="77777777" w:rsidTr="00882D36">
        <w:trPr>
          <w:jc w:val="center"/>
        </w:trPr>
        <w:tc>
          <w:tcPr>
            <w:tcW w:w="4876" w:type="dxa"/>
          </w:tcPr>
          <w:p w14:paraId="3E4CD74D" w14:textId="77777777" w:rsidR="003B40DD" w:rsidRPr="005B3ABD" w:rsidRDefault="003B40DD" w:rsidP="00882D36">
            <w:pPr>
              <w:pStyle w:val="Normal6"/>
              <w:rPr>
                <w:color w:val="0000FA"/>
              </w:rPr>
            </w:pPr>
          </w:p>
        </w:tc>
        <w:tc>
          <w:tcPr>
            <w:tcW w:w="4876" w:type="dxa"/>
          </w:tcPr>
          <w:p w14:paraId="24EC8D0D" w14:textId="77777777" w:rsidR="003B40DD" w:rsidRPr="005B3ABD" w:rsidRDefault="003B40DD" w:rsidP="00882D36">
            <w:pPr>
              <w:pStyle w:val="Normal6"/>
              <w:rPr>
                <w:color w:val="000005"/>
                <w:szCs w:val="24"/>
              </w:rPr>
            </w:pPr>
            <w:r w:rsidRPr="005B3ABD">
              <w:rPr>
                <w:b/>
                <w:i/>
              </w:rPr>
              <w:t>(b) expressed in the form of average values defined on the basis of:</w:t>
            </w:r>
          </w:p>
        </w:tc>
      </w:tr>
      <w:tr w:rsidR="003B40DD" w:rsidRPr="005B3ABD" w14:paraId="19CD5EC6" w14:textId="77777777" w:rsidTr="00882D36">
        <w:trPr>
          <w:jc w:val="center"/>
        </w:trPr>
        <w:tc>
          <w:tcPr>
            <w:tcW w:w="4876" w:type="dxa"/>
          </w:tcPr>
          <w:p w14:paraId="72964569" w14:textId="77777777" w:rsidR="003B40DD" w:rsidRPr="005B3ABD" w:rsidRDefault="003B40DD" w:rsidP="00882D36">
            <w:pPr>
              <w:pStyle w:val="Normal6"/>
              <w:rPr>
                <w:color w:val="0000FA"/>
              </w:rPr>
            </w:pPr>
          </w:p>
        </w:tc>
        <w:tc>
          <w:tcPr>
            <w:tcW w:w="4876" w:type="dxa"/>
          </w:tcPr>
          <w:p w14:paraId="09F1BC31" w14:textId="77777777" w:rsidR="003B40DD" w:rsidRPr="005B3ABD" w:rsidRDefault="003B40DD" w:rsidP="00882D36">
            <w:pPr>
              <w:pStyle w:val="Normal6"/>
              <w:rPr>
                <w:color w:val="000005"/>
                <w:szCs w:val="24"/>
              </w:rPr>
            </w:pPr>
            <w:r w:rsidRPr="005B3ABD">
              <w:rPr>
                <w:b/>
                <w:i/>
              </w:rPr>
              <w:t>(i) the analysis of the product by its producer, or</w:t>
            </w:r>
          </w:p>
        </w:tc>
      </w:tr>
      <w:tr w:rsidR="003B40DD" w:rsidRPr="005B3ABD" w14:paraId="50B3BC56" w14:textId="77777777" w:rsidTr="00882D36">
        <w:trPr>
          <w:jc w:val="center"/>
        </w:trPr>
        <w:tc>
          <w:tcPr>
            <w:tcW w:w="4876" w:type="dxa"/>
          </w:tcPr>
          <w:p w14:paraId="76B98387" w14:textId="77777777" w:rsidR="003B40DD" w:rsidRPr="005B3ABD" w:rsidRDefault="003B40DD" w:rsidP="00882D36">
            <w:pPr>
              <w:pStyle w:val="Normal6"/>
              <w:rPr>
                <w:color w:val="0000FA"/>
              </w:rPr>
            </w:pPr>
          </w:p>
        </w:tc>
        <w:tc>
          <w:tcPr>
            <w:tcW w:w="4876" w:type="dxa"/>
          </w:tcPr>
          <w:p w14:paraId="45F7DBB0" w14:textId="77777777" w:rsidR="003B40DD" w:rsidRPr="005B3ABD" w:rsidRDefault="003B40DD" w:rsidP="00882D36">
            <w:pPr>
              <w:pStyle w:val="Normal6"/>
              <w:rPr>
                <w:szCs w:val="24"/>
              </w:rPr>
            </w:pPr>
            <w:r w:rsidRPr="005B3ABD">
              <w:rPr>
                <w:b/>
                <w:i/>
              </w:rPr>
              <w:t>(ii) generally established and accepted data for the different types of wine.</w:t>
            </w:r>
          </w:p>
        </w:tc>
      </w:tr>
    </w:tbl>
    <w:p w14:paraId="1A4D216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C08724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B149DD5" w14:textId="77777777" w:rsidR="003B40DD" w:rsidRPr="005B3ABD" w:rsidRDefault="003B40DD" w:rsidP="003B40DD">
      <w:pPr>
        <w:pStyle w:val="Normal12Italic"/>
      </w:pPr>
      <w:r w:rsidRPr="005B3ABD">
        <w:t>The amendment gives information for establishing the energy value of wines.</w:t>
      </w:r>
    </w:p>
    <w:p w14:paraId="30F7A2E9" w14:textId="77777777" w:rsidR="003B40DD" w:rsidRPr="005B3ABD" w:rsidRDefault="003B40DD" w:rsidP="003B40DD">
      <w:r w:rsidRPr="005B3ABD">
        <w:rPr>
          <w:rStyle w:val="HideTWBExt"/>
          <w:noProof w:val="0"/>
          <w:color w:val="auto"/>
        </w:rPr>
        <w:t>&lt;/Amend&gt;</w:t>
      </w:r>
    </w:p>
    <w:p w14:paraId="3B4C3D1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40</w:t>
      </w:r>
      <w:r w:rsidRPr="005B3ABD">
        <w:rPr>
          <w:rStyle w:val="HideTWBExt"/>
          <w:b w:val="0"/>
          <w:noProof w:val="0"/>
          <w:color w:val="auto"/>
        </w:rPr>
        <w:t>&lt;/NumAm&gt;</w:t>
      </w:r>
    </w:p>
    <w:p w14:paraId="76D0CB9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31F1BB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19 a (new)</w:t>
      </w:r>
      <w:r w:rsidRPr="005B3ABD">
        <w:rPr>
          <w:rStyle w:val="HideTWBExt"/>
          <w:b w:val="0"/>
          <w:noProof w:val="0"/>
          <w:color w:val="auto"/>
        </w:rPr>
        <w:t>&lt;/Article&gt;</w:t>
      </w:r>
    </w:p>
    <w:p w14:paraId="1B776725"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EBCAF3D" w14:textId="77777777" w:rsidR="003B40DD" w:rsidRPr="005B3ABD" w:rsidRDefault="003B40DD" w:rsidP="003B40DD">
      <w:r w:rsidRPr="005B3ABD">
        <w:rPr>
          <w:rStyle w:val="HideTWBExt"/>
          <w:noProof w:val="0"/>
          <w:color w:val="auto"/>
        </w:rPr>
        <w:t>&lt;Article2&gt;</w:t>
      </w:r>
      <w:r w:rsidRPr="005B3ABD">
        <w:t>Article 121 – paragraph 2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444D39F" w14:textId="77777777" w:rsidTr="00882D36">
        <w:trPr>
          <w:jc w:val="center"/>
        </w:trPr>
        <w:tc>
          <w:tcPr>
            <w:tcW w:w="9752" w:type="dxa"/>
            <w:gridSpan w:val="2"/>
          </w:tcPr>
          <w:p w14:paraId="379B84DD" w14:textId="77777777" w:rsidR="003B40DD" w:rsidRPr="005B3ABD" w:rsidRDefault="003B40DD" w:rsidP="00882D36">
            <w:pPr>
              <w:keepNext/>
            </w:pPr>
          </w:p>
        </w:tc>
      </w:tr>
      <w:tr w:rsidR="003B40DD" w:rsidRPr="005B3ABD" w14:paraId="0BE465ED" w14:textId="77777777" w:rsidTr="00882D36">
        <w:trPr>
          <w:jc w:val="center"/>
        </w:trPr>
        <w:tc>
          <w:tcPr>
            <w:tcW w:w="4876" w:type="dxa"/>
          </w:tcPr>
          <w:p w14:paraId="3F776396" w14:textId="77777777" w:rsidR="003B40DD" w:rsidRPr="005B3ABD" w:rsidRDefault="003B40DD" w:rsidP="00882D36">
            <w:pPr>
              <w:pStyle w:val="ColumnHeading"/>
              <w:keepNext/>
              <w:rPr>
                <w:color w:val="0000FA"/>
              </w:rPr>
            </w:pPr>
            <w:r w:rsidRPr="005B3ABD">
              <w:t>Text proposed by the Commission</w:t>
            </w:r>
          </w:p>
        </w:tc>
        <w:tc>
          <w:tcPr>
            <w:tcW w:w="4876" w:type="dxa"/>
          </w:tcPr>
          <w:p w14:paraId="62344FC0" w14:textId="77777777" w:rsidR="003B40DD" w:rsidRPr="005B3ABD" w:rsidRDefault="003B40DD" w:rsidP="00882D36">
            <w:pPr>
              <w:pStyle w:val="ColumnHeading"/>
              <w:keepNext/>
              <w:rPr>
                <w:color w:val="0000F5"/>
              </w:rPr>
            </w:pPr>
            <w:r w:rsidRPr="005B3ABD">
              <w:t>Amendment</w:t>
            </w:r>
          </w:p>
        </w:tc>
      </w:tr>
      <w:tr w:rsidR="003B40DD" w:rsidRPr="005B3ABD" w14:paraId="6B86A4DC" w14:textId="77777777" w:rsidTr="00882D36">
        <w:trPr>
          <w:jc w:val="center"/>
        </w:trPr>
        <w:tc>
          <w:tcPr>
            <w:tcW w:w="4876" w:type="dxa"/>
          </w:tcPr>
          <w:p w14:paraId="5426DB29" w14:textId="77777777" w:rsidR="003B40DD" w:rsidRPr="005B3ABD" w:rsidRDefault="003B40DD" w:rsidP="00882D36">
            <w:pPr>
              <w:pStyle w:val="Normal6"/>
              <w:rPr>
                <w:color w:val="0000FA"/>
              </w:rPr>
            </w:pPr>
          </w:p>
        </w:tc>
        <w:tc>
          <w:tcPr>
            <w:tcW w:w="4876" w:type="dxa"/>
          </w:tcPr>
          <w:p w14:paraId="71B29839" w14:textId="77777777" w:rsidR="003B40DD" w:rsidRPr="005B3ABD" w:rsidRDefault="003B40DD" w:rsidP="00882D36">
            <w:pPr>
              <w:pStyle w:val="Normal6"/>
              <w:rPr>
                <w:color w:val="000005"/>
                <w:szCs w:val="24"/>
              </w:rPr>
            </w:pPr>
            <w:r w:rsidRPr="005B3ABD">
              <w:rPr>
                <w:b/>
                <w:i/>
              </w:rPr>
              <w:t>(19 a)</w:t>
            </w:r>
            <w:r w:rsidRPr="005B3ABD">
              <w:rPr>
                <w:b/>
                <w:i/>
              </w:rPr>
              <w:tab/>
              <w:t>In Article 121, the following paragraph is added:</w:t>
            </w:r>
          </w:p>
        </w:tc>
      </w:tr>
      <w:tr w:rsidR="003B40DD" w:rsidRPr="005B3ABD" w14:paraId="7C26247E" w14:textId="77777777" w:rsidTr="00882D36">
        <w:trPr>
          <w:jc w:val="center"/>
        </w:trPr>
        <w:tc>
          <w:tcPr>
            <w:tcW w:w="4876" w:type="dxa"/>
          </w:tcPr>
          <w:p w14:paraId="276F8A54" w14:textId="77777777" w:rsidR="003B40DD" w:rsidRPr="005B3ABD" w:rsidRDefault="003B40DD" w:rsidP="00882D36">
            <w:pPr>
              <w:pStyle w:val="Normal6"/>
              <w:rPr>
                <w:color w:val="0000FA"/>
              </w:rPr>
            </w:pPr>
          </w:p>
        </w:tc>
        <w:tc>
          <w:tcPr>
            <w:tcW w:w="4876" w:type="dxa"/>
          </w:tcPr>
          <w:p w14:paraId="7D1A7C79" w14:textId="77777777" w:rsidR="003B40DD" w:rsidRPr="005B3ABD" w:rsidRDefault="003B40DD" w:rsidP="00882D36">
            <w:pPr>
              <w:pStyle w:val="Normal6"/>
              <w:rPr>
                <w:szCs w:val="24"/>
              </w:rPr>
            </w:pPr>
            <w:r w:rsidRPr="005B3ABD">
              <w:rPr>
                <w:b/>
                <w:i/>
              </w:rPr>
              <w:t>2 a. When presenting the nutrition declaration referred to in Article 119(1)(g)(a), the word ‘energy’ may be replaced by the letter ‘E’.</w:t>
            </w:r>
          </w:p>
        </w:tc>
      </w:tr>
    </w:tbl>
    <w:p w14:paraId="5E52DD66"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C0473FD"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1E273E5" w14:textId="77777777" w:rsidR="003B40DD" w:rsidRPr="005B3ABD" w:rsidRDefault="003B40DD" w:rsidP="003B40DD">
      <w:pPr>
        <w:pStyle w:val="Normal12Italic"/>
      </w:pPr>
      <w:r w:rsidRPr="005B3ABD">
        <w:t>The mandatory indication of the word ‘energy’ on the bottle may appear in the form of an ‘E’, and not necessarily in one or more official languages of the Union; this makes it easier for winemakers and represents less labelling costs.</w:t>
      </w:r>
    </w:p>
    <w:p w14:paraId="278500DE" w14:textId="77777777" w:rsidR="003B40DD" w:rsidRPr="005B3ABD" w:rsidRDefault="003B40DD" w:rsidP="003B40DD">
      <w:r w:rsidRPr="005B3ABD">
        <w:rPr>
          <w:rStyle w:val="HideTWBExt"/>
          <w:noProof w:val="0"/>
          <w:color w:val="auto"/>
        </w:rPr>
        <w:t>&lt;/Amend&gt;</w:t>
      </w:r>
    </w:p>
    <w:p w14:paraId="7821A65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41</w:t>
      </w:r>
      <w:r w:rsidRPr="005B3ABD">
        <w:rPr>
          <w:rStyle w:val="HideTWBExt"/>
          <w:b w:val="0"/>
          <w:noProof w:val="0"/>
          <w:color w:val="auto"/>
        </w:rPr>
        <w:t>&lt;/NumAm&gt;</w:t>
      </w:r>
    </w:p>
    <w:p w14:paraId="3DF871EA"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F36EAF5"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20 – point a a (new)</w:t>
      </w:r>
      <w:r w:rsidRPr="005B3ABD">
        <w:rPr>
          <w:rStyle w:val="HideTWBExt"/>
          <w:b w:val="0"/>
          <w:noProof w:val="0"/>
          <w:color w:val="auto"/>
        </w:rPr>
        <w:t>&lt;/Article&gt;</w:t>
      </w:r>
    </w:p>
    <w:p w14:paraId="78E0A7B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D903635" w14:textId="77777777" w:rsidR="003B40DD" w:rsidRPr="005B3ABD" w:rsidRDefault="003B40DD" w:rsidP="003B40DD">
      <w:r w:rsidRPr="005B3ABD">
        <w:rPr>
          <w:rStyle w:val="HideTWBExt"/>
          <w:noProof w:val="0"/>
          <w:color w:val="auto"/>
        </w:rPr>
        <w:t>&lt;Article2&gt;</w:t>
      </w:r>
      <w:r w:rsidRPr="005B3ABD">
        <w:t>Article 122 – paragraph 1 – point b – point v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20BF60B" w14:textId="77777777" w:rsidTr="00882D36">
        <w:trPr>
          <w:jc w:val="center"/>
        </w:trPr>
        <w:tc>
          <w:tcPr>
            <w:tcW w:w="9752" w:type="dxa"/>
            <w:gridSpan w:val="2"/>
          </w:tcPr>
          <w:p w14:paraId="007C77C8" w14:textId="77777777" w:rsidR="003B40DD" w:rsidRPr="005B3ABD" w:rsidRDefault="003B40DD" w:rsidP="00882D36">
            <w:pPr>
              <w:keepNext/>
            </w:pPr>
          </w:p>
        </w:tc>
      </w:tr>
      <w:tr w:rsidR="003B40DD" w:rsidRPr="005B3ABD" w14:paraId="180B73D5" w14:textId="77777777" w:rsidTr="00882D36">
        <w:trPr>
          <w:jc w:val="center"/>
        </w:trPr>
        <w:tc>
          <w:tcPr>
            <w:tcW w:w="4876" w:type="dxa"/>
          </w:tcPr>
          <w:p w14:paraId="5FEADB49" w14:textId="77777777" w:rsidR="003B40DD" w:rsidRPr="005B3ABD" w:rsidRDefault="003B40DD" w:rsidP="00882D36">
            <w:pPr>
              <w:pStyle w:val="ColumnHeading"/>
              <w:keepNext/>
              <w:rPr>
                <w:color w:val="0000FA"/>
              </w:rPr>
            </w:pPr>
            <w:r w:rsidRPr="005B3ABD">
              <w:t>Text proposed by the Commission</w:t>
            </w:r>
          </w:p>
        </w:tc>
        <w:tc>
          <w:tcPr>
            <w:tcW w:w="4876" w:type="dxa"/>
          </w:tcPr>
          <w:p w14:paraId="4FEB7C46" w14:textId="77777777" w:rsidR="003B40DD" w:rsidRPr="005B3ABD" w:rsidRDefault="003B40DD" w:rsidP="00882D36">
            <w:pPr>
              <w:pStyle w:val="ColumnHeading"/>
              <w:keepNext/>
              <w:rPr>
                <w:color w:val="0000F5"/>
              </w:rPr>
            </w:pPr>
            <w:r w:rsidRPr="005B3ABD">
              <w:t>Amendment</w:t>
            </w:r>
          </w:p>
        </w:tc>
      </w:tr>
      <w:tr w:rsidR="003B40DD" w:rsidRPr="005B3ABD" w14:paraId="1AB450C3" w14:textId="77777777" w:rsidTr="00882D36">
        <w:trPr>
          <w:jc w:val="center"/>
        </w:trPr>
        <w:tc>
          <w:tcPr>
            <w:tcW w:w="4876" w:type="dxa"/>
          </w:tcPr>
          <w:p w14:paraId="0A676329" w14:textId="77777777" w:rsidR="003B40DD" w:rsidRPr="005B3ABD" w:rsidRDefault="003B40DD" w:rsidP="00882D36">
            <w:pPr>
              <w:pStyle w:val="Normal6"/>
              <w:rPr>
                <w:color w:val="0000FA"/>
              </w:rPr>
            </w:pPr>
          </w:p>
        </w:tc>
        <w:tc>
          <w:tcPr>
            <w:tcW w:w="4876" w:type="dxa"/>
          </w:tcPr>
          <w:p w14:paraId="3B53D8E3" w14:textId="77777777" w:rsidR="003B40DD" w:rsidRPr="005B3ABD" w:rsidRDefault="003B40DD" w:rsidP="00882D36">
            <w:pPr>
              <w:pStyle w:val="Normal6"/>
              <w:rPr>
                <w:color w:val="000005"/>
                <w:szCs w:val="24"/>
              </w:rPr>
            </w:pPr>
            <w:r w:rsidRPr="005B3ABD">
              <w:rPr>
                <w:b/>
                <w:i/>
              </w:rPr>
              <w:t>(a a)</w:t>
            </w:r>
            <w:r w:rsidRPr="005B3ABD">
              <w:rPr>
                <w:b/>
                <w:i/>
              </w:rPr>
              <w:tab/>
              <w:t>in point (b), the following point is added:</w:t>
            </w:r>
          </w:p>
        </w:tc>
      </w:tr>
      <w:tr w:rsidR="003B40DD" w:rsidRPr="005B3ABD" w14:paraId="155AAC1F" w14:textId="77777777" w:rsidTr="00882D36">
        <w:trPr>
          <w:jc w:val="center"/>
        </w:trPr>
        <w:tc>
          <w:tcPr>
            <w:tcW w:w="4876" w:type="dxa"/>
          </w:tcPr>
          <w:p w14:paraId="128B0995" w14:textId="77777777" w:rsidR="003B40DD" w:rsidRPr="005B3ABD" w:rsidRDefault="003B40DD" w:rsidP="00882D36">
            <w:pPr>
              <w:pStyle w:val="Normal6"/>
              <w:rPr>
                <w:color w:val="0000FA"/>
              </w:rPr>
            </w:pPr>
          </w:p>
        </w:tc>
        <w:tc>
          <w:tcPr>
            <w:tcW w:w="4876" w:type="dxa"/>
          </w:tcPr>
          <w:p w14:paraId="7AFB4A34" w14:textId="77777777" w:rsidR="003B40DD" w:rsidRPr="005B3ABD" w:rsidRDefault="003B40DD" w:rsidP="00882D36">
            <w:pPr>
              <w:pStyle w:val="Normal6"/>
              <w:rPr>
                <w:szCs w:val="24"/>
              </w:rPr>
            </w:pPr>
            <w:r w:rsidRPr="005B3ABD">
              <w:rPr>
                <w:b/>
                <w:i/>
              </w:rPr>
              <w:t>(v a ) the provisions relating to Article 119(1)(g)(a)</w:t>
            </w:r>
          </w:p>
        </w:tc>
      </w:tr>
    </w:tbl>
    <w:p w14:paraId="5289E53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F2B8BE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4A21E38" w14:textId="77777777" w:rsidR="003B40DD" w:rsidRPr="005B3ABD" w:rsidRDefault="003B40DD" w:rsidP="003B40DD">
      <w:pPr>
        <w:pStyle w:val="Normal12Italic"/>
      </w:pPr>
      <w:r w:rsidRPr="005B3ABD">
        <w:t>The Commission is empowered to adopt delegated acts with regard to labelling rules for the energy value of wines.</w:t>
      </w:r>
    </w:p>
    <w:p w14:paraId="2A6DF7E7" w14:textId="77777777" w:rsidR="003B40DD" w:rsidRPr="005B3ABD" w:rsidRDefault="003B40DD" w:rsidP="003B40DD">
      <w:r w:rsidRPr="005B3ABD">
        <w:rPr>
          <w:rStyle w:val="HideTWBExt"/>
          <w:noProof w:val="0"/>
          <w:color w:val="auto"/>
        </w:rPr>
        <w:t>&lt;/Amend&gt;</w:t>
      </w:r>
    </w:p>
    <w:p w14:paraId="33AB274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42</w:t>
      </w:r>
      <w:r w:rsidRPr="005B3ABD">
        <w:rPr>
          <w:rStyle w:val="HideTWBExt"/>
          <w:b w:val="0"/>
          <w:noProof w:val="0"/>
          <w:color w:val="auto"/>
        </w:rPr>
        <w:t>&lt;/NumAm&gt;</w:t>
      </w:r>
    </w:p>
    <w:p w14:paraId="480DD79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614495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20 – point a b (new)</w:t>
      </w:r>
      <w:r w:rsidRPr="005B3ABD">
        <w:rPr>
          <w:rStyle w:val="HideTWBExt"/>
          <w:b w:val="0"/>
          <w:noProof w:val="0"/>
          <w:color w:val="auto"/>
        </w:rPr>
        <w:t>&lt;/Article&gt;</w:t>
      </w:r>
    </w:p>
    <w:p w14:paraId="634E831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609010B" w14:textId="77777777" w:rsidR="003B40DD" w:rsidRPr="005B3ABD" w:rsidRDefault="003B40DD" w:rsidP="003B40DD">
      <w:r w:rsidRPr="005B3ABD">
        <w:rPr>
          <w:rStyle w:val="HideTWBExt"/>
          <w:noProof w:val="0"/>
          <w:color w:val="auto"/>
        </w:rPr>
        <w:t>&lt;Article2&gt;</w:t>
      </w:r>
      <w:r w:rsidRPr="005B3ABD">
        <w:t>Article 122 – paragraph 1 – point b – point v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C63DE04" w14:textId="77777777" w:rsidTr="00882D36">
        <w:trPr>
          <w:jc w:val="center"/>
        </w:trPr>
        <w:tc>
          <w:tcPr>
            <w:tcW w:w="9752" w:type="dxa"/>
            <w:gridSpan w:val="2"/>
          </w:tcPr>
          <w:p w14:paraId="3279F975" w14:textId="77777777" w:rsidR="003B40DD" w:rsidRPr="005B3ABD" w:rsidRDefault="003B40DD" w:rsidP="00882D36">
            <w:pPr>
              <w:keepNext/>
            </w:pPr>
          </w:p>
        </w:tc>
      </w:tr>
      <w:tr w:rsidR="003B40DD" w:rsidRPr="005B3ABD" w14:paraId="576D1284" w14:textId="77777777" w:rsidTr="00882D36">
        <w:trPr>
          <w:jc w:val="center"/>
        </w:trPr>
        <w:tc>
          <w:tcPr>
            <w:tcW w:w="4876" w:type="dxa"/>
          </w:tcPr>
          <w:p w14:paraId="6E48F121" w14:textId="77777777" w:rsidR="003B40DD" w:rsidRPr="005B3ABD" w:rsidRDefault="003B40DD" w:rsidP="00882D36">
            <w:pPr>
              <w:pStyle w:val="ColumnHeading"/>
              <w:keepNext/>
              <w:rPr>
                <w:color w:val="0000FA"/>
              </w:rPr>
            </w:pPr>
            <w:r w:rsidRPr="005B3ABD">
              <w:t>Text proposed by the Commission</w:t>
            </w:r>
          </w:p>
        </w:tc>
        <w:tc>
          <w:tcPr>
            <w:tcW w:w="4876" w:type="dxa"/>
          </w:tcPr>
          <w:p w14:paraId="7F57693C" w14:textId="77777777" w:rsidR="003B40DD" w:rsidRPr="005B3ABD" w:rsidRDefault="003B40DD" w:rsidP="00882D36">
            <w:pPr>
              <w:pStyle w:val="ColumnHeading"/>
              <w:keepNext/>
              <w:rPr>
                <w:color w:val="0000F5"/>
              </w:rPr>
            </w:pPr>
            <w:r w:rsidRPr="005B3ABD">
              <w:t>Amendment</w:t>
            </w:r>
          </w:p>
        </w:tc>
      </w:tr>
      <w:tr w:rsidR="003B40DD" w:rsidRPr="005B3ABD" w14:paraId="405867E2" w14:textId="77777777" w:rsidTr="00882D36">
        <w:trPr>
          <w:jc w:val="center"/>
        </w:trPr>
        <w:tc>
          <w:tcPr>
            <w:tcW w:w="4876" w:type="dxa"/>
          </w:tcPr>
          <w:p w14:paraId="0E6C2534" w14:textId="77777777" w:rsidR="003B40DD" w:rsidRPr="005B3ABD" w:rsidRDefault="003B40DD" w:rsidP="00882D36">
            <w:pPr>
              <w:pStyle w:val="Normal6"/>
              <w:rPr>
                <w:color w:val="0000FA"/>
              </w:rPr>
            </w:pPr>
          </w:p>
        </w:tc>
        <w:tc>
          <w:tcPr>
            <w:tcW w:w="4876" w:type="dxa"/>
          </w:tcPr>
          <w:p w14:paraId="65DBE7CC" w14:textId="77777777" w:rsidR="003B40DD" w:rsidRPr="005B3ABD" w:rsidRDefault="003B40DD" w:rsidP="00882D36">
            <w:pPr>
              <w:pStyle w:val="Normal6"/>
              <w:rPr>
                <w:color w:val="000005"/>
                <w:szCs w:val="24"/>
              </w:rPr>
            </w:pPr>
            <w:r w:rsidRPr="005B3ABD">
              <w:rPr>
                <w:b/>
                <w:i/>
              </w:rPr>
              <w:t>(a b)</w:t>
            </w:r>
            <w:r w:rsidRPr="005B3ABD">
              <w:rPr>
                <w:b/>
                <w:i/>
              </w:rPr>
              <w:tab/>
              <w:t>the following point is added to (b):</w:t>
            </w:r>
          </w:p>
        </w:tc>
      </w:tr>
      <w:tr w:rsidR="003B40DD" w:rsidRPr="005B3ABD" w14:paraId="137C942D" w14:textId="77777777" w:rsidTr="00882D36">
        <w:trPr>
          <w:jc w:val="center"/>
        </w:trPr>
        <w:tc>
          <w:tcPr>
            <w:tcW w:w="4876" w:type="dxa"/>
          </w:tcPr>
          <w:p w14:paraId="1A961CB9" w14:textId="77777777" w:rsidR="003B40DD" w:rsidRPr="005B3ABD" w:rsidRDefault="003B40DD" w:rsidP="00882D36">
            <w:pPr>
              <w:pStyle w:val="Normal6"/>
              <w:rPr>
                <w:color w:val="0000FA"/>
              </w:rPr>
            </w:pPr>
          </w:p>
        </w:tc>
        <w:tc>
          <w:tcPr>
            <w:tcW w:w="4876" w:type="dxa"/>
          </w:tcPr>
          <w:p w14:paraId="0BD8B3F6" w14:textId="77777777" w:rsidR="003B40DD" w:rsidRPr="005B3ABD" w:rsidRDefault="003B40DD" w:rsidP="00882D36">
            <w:pPr>
              <w:pStyle w:val="Normal6"/>
              <w:rPr>
                <w:szCs w:val="24"/>
              </w:rPr>
            </w:pPr>
            <w:r w:rsidRPr="005B3ABD">
              <w:rPr>
                <w:b/>
                <w:i/>
              </w:rPr>
              <w:t>(v b) the provisions relating to Article 119(1)(g)(b)</w:t>
            </w:r>
          </w:p>
        </w:tc>
      </w:tr>
    </w:tbl>
    <w:p w14:paraId="2D4D317B"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56FF8D4"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33A998E2" w14:textId="77777777" w:rsidR="003B40DD" w:rsidRPr="005B3ABD" w:rsidRDefault="003B40DD" w:rsidP="003B40DD">
      <w:pPr>
        <w:pStyle w:val="Normal12Italic"/>
      </w:pPr>
      <w:r w:rsidRPr="005B3ABD">
        <w:t>The Commission is empowered to adopt delegated acts with regard to labelling rules for the list of ingredients contained in wines.</w:t>
      </w:r>
    </w:p>
    <w:p w14:paraId="0C5AF4F7" w14:textId="77777777" w:rsidR="003B40DD" w:rsidRPr="005B3ABD" w:rsidRDefault="003B40DD" w:rsidP="003B40DD">
      <w:r w:rsidRPr="005B3ABD">
        <w:rPr>
          <w:rStyle w:val="HideTWBExt"/>
          <w:noProof w:val="0"/>
          <w:color w:val="auto"/>
        </w:rPr>
        <w:t>&lt;/Amend&gt;</w:t>
      </w:r>
    </w:p>
    <w:p w14:paraId="0FD320B1"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43</w:t>
      </w:r>
      <w:r w:rsidRPr="005B3ABD">
        <w:rPr>
          <w:rStyle w:val="HideTWBExt"/>
          <w:b w:val="0"/>
          <w:noProof w:val="0"/>
          <w:color w:val="auto"/>
        </w:rPr>
        <w:t>&lt;/NumAm&gt;</w:t>
      </w:r>
    </w:p>
    <w:p w14:paraId="3199DEB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702306D"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a (new)</w:t>
      </w:r>
      <w:r w:rsidRPr="005B3ABD">
        <w:rPr>
          <w:rStyle w:val="HideTWBExt"/>
          <w:b w:val="0"/>
          <w:noProof w:val="0"/>
          <w:color w:val="auto"/>
        </w:rPr>
        <w:t>&lt;/Article&gt;</w:t>
      </w:r>
    </w:p>
    <w:p w14:paraId="2A08C1E8"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D03A1F2" w14:textId="77777777" w:rsidR="003B40DD" w:rsidRPr="005B3ABD" w:rsidRDefault="003B40DD" w:rsidP="003B40DD">
      <w:r w:rsidRPr="005B3ABD">
        <w:rPr>
          <w:rStyle w:val="HideTWBExt"/>
          <w:noProof w:val="0"/>
          <w:color w:val="auto"/>
        </w:rPr>
        <w:t>&lt;Article2&gt;</w:t>
      </w:r>
      <w:r w:rsidRPr="005B3ABD">
        <w:t>Article 149 – paragraph 2 – point a</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99E5FF3" w14:textId="77777777" w:rsidTr="00882D36">
        <w:trPr>
          <w:jc w:val="center"/>
        </w:trPr>
        <w:tc>
          <w:tcPr>
            <w:tcW w:w="9752" w:type="dxa"/>
            <w:gridSpan w:val="2"/>
          </w:tcPr>
          <w:p w14:paraId="7F689162" w14:textId="77777777" w:rsidR="003B40DD" w:rsidRPr="005B3ABD" w:rsidRDefault="003B40DD" w:rsidP="00882D36">
            <w:pPr>
              <w:keepNext/>
            </w:pPr>
          </w:p>
        </w:tc>
      </w:tr>
      <w:tr w:rsidR="003B40DD" w:rsidRPr="005B3ABD" w14:paraId="3D5B8E08" w14:textId="77777777" w:rsidTr="00882D36">
        <w:trPr>
          <w:jc w:val="center"/>
        </w:trPr>
        <w:tc>
          <w:tcPr>
            <w:tcW w:w="4876" w:type="dxa"/>
          </w:tcPr>
          <w:p w14:paraId="7BD3D726" w14:textId="77777777" w:rsidR="003B40DD" w:rsidRPr="005B3ABD" w:rsidRDefault="003B40DD" w:rsidP="00882D36">
            <w:pPr>
              <w:pStyle w:val="ColumnHeading"/>
              <w:keepNext/>
              <w:rPr>
                <w:color w:val="0000FA"/>
              </w:rPr>
            </w:pPr>
            <w:r w:rsidRPr="005B3ABD">
              <w:t>Text proposed by the Commission</w:t>
            </w:r>
          </w:p>
        </w:tc>
        <w:tc>
          <w:tcPr>
            <w:tcW w:w="4876" w:type="dxa"/>
          </w:tcPr>
          <w:p w14:paraId="08F1BFE6" w14:textId="77777777" w:rsidR="003B40DD" w:rsidRPr="005B3ABD" w:rsidRDefault="003B40DD" w:rsidP="00882D36">
            <w:pPr>
              <w:pStyle w:val="ColumnHeading"/>
              <w:keepNext/>
              <w:rPr>
                <w:color w:val="0000F5"/>
              </w:rPr>
            </w:pPr>
            <w:r w:rsidRPr="005B3ABD">
              <w:t>Amendment</w:t>
            </w:r>
          </w:p>
        </w:tc>
      </w:tr>
      <w:tr w:rsidR="003B40DD" w:rsidRPr="005B3ABD" w14:paraId="008541D6" w14:textId="77777777" w:rsidTr="00882D36">
        <w:trPr>
          <w:jc w:val="center"/>
        </w:trPr>
        <w:tc>
          <w:tcPr>
            <w:tcW w:w="4876" w:type="dxa"/>
          </w:tcPr>
          <w:p w14:paraId="7C649A93" w14:textId="77777777" w:rsidR="003B40DD" w:rsidRPr="005B3ABD" w:rsidRDefault="003B40DD" w:rsidP="00882D36">
            <w:pPr>
              <w:pStyle w:val="Normal6"/>
              <w:rPr>
                <w:color w:val="0000FA"/>
              </w:rPr>
            </w:pPr>
          </w:p>
        </w:tc>
        <w:tc>
          <w:tcPr>
            <w:tcW w:w="4876" w:type="dxa"/>
          </w:tcPr>
          <w:p w14:paraId="3A8AF928" w14:textId="77777777" w:rsidR="003B40DD" w:rsidRPr="005B3ABD" w:rsidRDefault="003B40DD" w:rsidP="00882D36">
            <w:pPr>
              <w:pStyle w:val="Normal6"/>
              <w:rPr>
                <w:szCs w:val="24"/>
              </w:rPr>
            </w:pPr>
            <w:r w:rsidRPr="005B3ABD">
              <w:rPr>
                <w:b/>
                <w:i/>
              </w:rPr>
              <w:t>(22 a)</w:t>
            </w:r>
            <w:r w:rsidRPr="005B3ABD">
              <w:rPr>
                <w:b/>
                <w:i/>
              </w:rPr>
              <w:tab/>
              <w:t>In Article 149, point (a) of paragraph 2 is deleted.</w:t>
            </w:r>
          </w:p>
        </w:tc>
      </w:tr>
    </w:tbl>
    <w:p w14:paraId="133B5B1A"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722BC4D" w14:textId="77777777" w:rsidR="003B40DD" w:rsidRPr="005B3ABD" w:rsidRDefault="003B40DD" w:rsidP="003B40DD">
      <w:pPr>
        <w:pStyle w:val="CrossRef"/>
      </w:pPr>
      <w:r w:rsidRPr="005B3ABD">
        <w:t>(https://eur-lex.europa.eu/legal-content/EN/TXT/?uri=CELEX:02013R1308-20180101)</w:t>
      </w:r>
    </w:p>
    <w:p w14:paraId="3A9EC2B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7A15F8A" w14:textId="77777777" w:rsidR="003B40DD" w:rsidRPr="005B3ABD" w:rsidRDefault="003B40DD" w:rsidP="003B40DD">
      <w:pPr>
        <w:pStyle w:val="Normal12Italic"/>
      </w:pPr>
      <w:r w:rsidRPr="005B3ABD">
        <w:t>Collective bargaining activities in the name and on behalf of farmers who are members of an organisation only concern non-commercial structures without transfer of ownership. This means that the cooperatives that sell the produce of their members are the owners of this produce and are therefore not concerned by collective bargaining since they are acting as a single entity. Milk is aligned with Article 152. 1 a, deleting the reference to transfer of ownership.</w:t>
      </w:r>
    </w:p>
    <w:p w14:paraId="04DB28A6" w14:textId="77777777" w:rsidR="003B40DD" w:rsidRPr="005B3ABD" w:rsidRDefault="003B40DD" w:rsidP="003B40DD">
      <w:r w:rsidRPr="005B3ABD">
        <w:rPr>
          <w:rStyle w:val="HideTWBExt"/>
          <w:noProof w:val="0"/>
          <w:color w:val="auto"/>
        </w:rPr>
        <w:t>&lt;/Amend&gt;</w:t>
      </w:r>
    </w:p>
    <w:p w14:paraId="5126882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44</w:t>
      </w:r>
      <w:r w:rsidRPr="005B3ABD">
        <w:rPr>
          <w:rStyle w:val="HideTWBExt"/>
          <w:b w:val="0"/>
          <w:noProof w:val="0"/>
          <w:color w:val="auto"/>
        </w:rPr>
        <w:t>&lt;/NumAm&gt;</w:t>
      </w:r>
    </w:p>
    <w:p w14:paraId="4E41DCF1"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FC5D9CC"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b (new)</w:t>
      </w:r>
      <w:r w:rsidRPr="005B3ABD">
        <w:rPr>
          <w:rStyle w:val="HideTWBExt"/>
          <w:b w:val="0"/>
          <w:noProof w:val="0"/>
          <w:color w:val="auto"/>
        </w:rPr>
        <w:t>&lt;/Article&gt;</w:t>
      </w:r>
    </w:p>
    <w:p w14:paraId="7441558D"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97BF863" w14:textId="77777777" w:rsidR="003B40DD" w:rsidRPr="005B3ABD" w:rsidRDefault="003B40DD" w:rsidP="003B40DD">
      <w:r w:rsidRPr="005B3ABD">
        <w:rPr>
          <w:rStyle w:val="HideTWBExt"/>
          <w:noProof w:val="0"/>
          <w:color w:val="auto"/>
        </w:rPr>
        <w:t>&lt;Article2&gt;</w:t>
      </w:r>
      <w:r w:rsidRPr="005B3ABD">
        <w:t>Article 151(1)</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D775FFB" w14:textId="77777777" w:rsidTr="00882D36">
        <w:trPr>
          <w:jc w:val="center"/>
        </w:trPr>
        <w:tc>
          <w:tcPr>
            <w:tcW w:w="9752" w:type="dxa"/>
            <w:gridSpan w:val="2"/>
          </w:tcPr>
          <w:p w14:paraId="73F4B2AC" w14:textId="77777777" w:rsidR="003B40DD" w:rsidRPr="005B3ABD" w:rsidRDefault="003B40DD" w:rsidP="00882D36">
            <w:pPr>
              <w:keepNext/>
            </w:pPr>
          </w:p>
        </w:tc>
      </w:tr>
      <w:tr w:rsidR="003B40DD" w:rsidRPr="005B3ABD" w14:paraId="2B2211D3" w14:textId="77777777" w:rsidTr="00882D36">
        <w:trPr>
          <w:jc w:val="center"/>
        </w:trPr>
        <w:tc>
          <w:tcPr>
            <w:tcW w:w="4876" w:type="dxa"/>
          </w:tcPr>
          <w:p w14:paraId="37A9DE73" w14:textId="77777777" w:rsidR="003B40DD" w:rsidRPr="005B3ABD" w:rsidRDefault="003B40DD" w:rsidP="00882D36">
            <w:pPr>
              <w:pStyle w:val="ColumnHeading"/>
              <w:keepNext/>
              <w:rPr>
                <w:color w:val="0000FA"/>
              </w:rPr>
            </w:pPr>
            <w:r w:rsidRPr="005B3ABD">
              <w:t>This text</w:t>
            </w:r>
          </w:p>
        </w:tc>
        <w:tc>
          <w:tcPr>
            <w:tcW w:w="4876" w:type="dxa"/>
          </w:tcPr>
          <w:p w14:paraId="0AC7B972" w14:textId="77777777" w:rsidR="003B40DD" w:rsidRPr="005B3ABD" w:rsidRDefault="003B40DD" w:rsidP="00882D36">
            <w:pPr>
              <w:pStyle w:val="ColumnHeading"/>
              <w:keepNext/>
              <w:rPr>
                <w:color w:val="0000F5"/>
              </w:rPr>
            </w:pPr>
            <w:r w:rsidRPr="005B3ABD">
              <w:t>Amendment</w:t>
            </w:r>
          </w:p>
        </w:tc>
      </w:tr>
      <w:tr w:rsidR="003B40DD" w:rsidRPr="005B3ABD" w14:paraId="1C68A6FE" w14:textId="77777777" w:rsidTr="00882D36">
        <w:trPr>
          <w:jc w:val="center"/>
        </w:trPr>
        <w:tc>
          <w:tcPr>
            <w:tcW w:w="4876" w:type="dxa"/>
          </w:tcPr>
          <w:p w14:paraId="55128319" w14:textId="77777777" w:rsidR="003B40DD" w:rsidRPr="005B3ABD" w:rsidRDefault="003B40DD" w:rsidP="00882D36">
            <w:pPr>
              <w:pStyle w:val="Normal6"/>
              <w:rPr>
                <w:color w:val="0000FA"/>
              </w:rPr>
            </w:pPr>
          </w:p>
        </w:tc>
        <w:tc>
          <w:tcPr>
            <w:tcW w:w="4876" w:type="dxa"/>
          </w:tcPr>
          <w:p w14:paraId="423C3FCE" w14:textId="77777777" w:rsidR="003B40DD" w:rsidRPr="005B3ABD" w:rsidRDefault="003B40DD" w:rsidP="00882D36">
            <w:pPr>
              <w:pStyle w:val="Normal6"/>
              <w:rPr>
                <w:color w:val="000005"/>
                <w:szCs w:val="24"/>
              </w:rPr>
            </w:pPr>
            <w:r w:rsidRPr="005B3ABD">
              <w:rPr>
                <w:b/>
                <w:i/>
              </w:rPr>
              <w:t>(22 b)</w:t>
            </w:r>
            <w:r w:rsidRPr="005B3ABD">
              <w:rPr>
                <w:b/>
                <w:i/>
              </w:rPr>
              <w:tab/>
              <w:t>Article 151(1) is replaced by:</w:t>
            </w:r>
          </w:p>
        </w:tc>
      </w:tr>
      <w:tr w:rsidR="003B40DD" w:rsidRPr="005B3ABD" w14:paraId="7B71BC98" w14:textId="77777777" w:rsidTr="00882D36">
        <w:trPr>
          <w:jc w:val="center"/>
        </w:trPr>
        <w:tc>
          <w:tcPr>
            <w:tcW w:w="4876" w:type="dxa"/>
          </w:tcPr>
          <w:p w14:paraId="75DB19FD" w14:textId="77777777" w:rsidR="003B40DD" w:rsidRPr="005B3ABD" w:rsidRDefault="003B40DD" w:rsidP="00882D36">
            <w:pPr>
              <w:pStyle w:val="Normal6"/>
              <w:rPr>
                <w:color w:val="0000FA"/>
              </w:rPr>
            </w:pPr>
            <w:r w:rsidRPr="005B3ABD">
              <w:t>From 1 April 2015, the first purchasers of raw milk shall declare to the competent national authority the quantity of raw milk that has been delivered to them each month.</w:t>
            </w:r>
          </w:p>
        </w:tc>
        <w:tc>
          <w:tcPr>
            <w:tcW w:w="4876" w:type="dxa"/>
          </w:tcPr>
          <w:p w14:paraId="7180F631" w14:textId="77777777" w:rsidR="003B40DD" w:rsidRPr="005B3ABD" w:rsidRDefault="003B40DD" w:rsidP="00882D36">
            <w:pPr>
              <w:pStyle w:val="Normal6"/>
              <w:rPr>
                <w:szCs w:val="24"/>
              </w:rPr>
            </w:pPr>
            <w:r w:rsidRPr="005B3ABD">
              <w:t xml:space="preserve">From 1 April 2015, the first purchasers of raw milk shall declare to the competent national authority the quantity of raw milk that has been delivered to them each month </w:t>
            </w:r>
            <w:r w:rsidRPr="005B3ABD">
              <w:rPr>
                <w:b/>
                <w:bCs/>
                <w:i/>
                <w:iCs/>
              </w:rPr>
              <w:t>and the average price charged</w:t>
            </w:r>
            <w:r w:rsidRPr="005B3ABD">
              <w:t xml:space="preserve">. </w:t>
            </w:r>
            <w:r w:rsidRPr="005B3ABD">
              <w:rPr>
                <w:b/>
                <w:i/>
              </w:rPr>
              <w:t xml:space="preserve">A distinction is made between organic and </w:t>
            </w:r>
            <w:r w:rsidRPr="005B3ABD">
              <w:rPr>
                <w:b/>
                <w:i/>
              </w:rPr>
              <w:lastRenderedPageBreak/>
              <w:t xml:space="preserve">non-organic agricultural products.” </w:t>
            </w:r>
          </w:p>
        </w:tc>
      </w:tr>
    </w:tbl>
    <w:p w14:paraId="555D0ABA"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D7176FB" w14:textId="77777777" w:rsidR="003B40DD" w:rsidRPr="005B3ABD" w:rsidRDefault="003B40DD" w:rsidP="003B40DD">
      <w:pPr>
        <w:pStyle w:val="CrossRef"/>
      </w:pPr>
      <w:r w:rsidRPr="005B3ABD">
        <w:t>(https://eur-lex.europa.eu/legal-content/EN/TXT/?uri=CELEX:02013R1308-20180101)</w:t>
      </w:r>
    </w:p>
    <w:p w14:paraId="34EE6D3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9E10F3B" w14:textId="77777777" w:rsidR="003B40DD" w:rsidRPr="005B3ABD" w:rsidRDefault="003B40DD" w:rsidP="003B40DD">
      <w:pPr>
        <w:pStyle w:val="Normal12Italic"/>
      </w:pPr>
      <w:r w:rsidRPr="005B3ABD">
        <w:t>To ensure a better monitoring of the milk market, the average prices charged must be provided in addition to the amounts of raw milk collected. The declaration procedure is already under way, the collection of an additional data element merely needs to be added. The argument that price fixing could delay the collection of information on volumes should be rejected: the purpose of Article 148 is in fact to push collectors to establish a purchase price as soon as possible through written contracts.</w:t>
      </w:r>
    </w:p>
    <w:p w14:paraId="0A121704" w14:textId="77777777" w:rsidR="003B40DD" w:rsidRPr="005B3ABD" w:rsidRDefault="003B40DD" w:rsidP="003B40DD">
      <w:r w:rsidRPr="005B3ABD">
        <w:rPr>
          <w:rStyle w:val="HideTWBExt"/>
          <w:noProof w:val="0"/>
          <w:color w:val="auto"/>
        </w:rPr>
        <w:t>&lt;/Amend&gt;</w:t>
      </w:r>
    </w:p>
    <w:p w14:paraId="4A2D665E"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45</w:t>
      </w:r>
      <w:r w:rsidRPr="005B3ABD">
        <w:rPr>
          <w:rStyle w:val="HideTWBExt"/>
          <w:b w:val="0"/>
          <w:noProof w:val="0"/>
          <w:color w:val="auto"/>
        </w:rPr>
        <w:t>&lt;/NumAm&gt;</w:t>
      </w:r>
    </w:p>
    <w:p w14:paraId="4ABCF452"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DF5D544"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c (new)</w:t>
      </w:r>
      <w:r w:rsidRPr="005B3ABD">
        <w:rPr>
          <w:rStyle w:val="HideTWBExt"/>
          <w:b w:val="0"/>
          <w:noProof w:val="0"/>
          <w:color w:val="auto"/>
        </w:rPr>
        <w:t>&lt;/Article&gt;</w:t>
      </w:r>
    </w:p>
    <w:p w14:paraId="6B03659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C5E6F62" w14:textId="77777777" w:rsidR="003B40DD" w:rsidRPr="005B3ABD" w:rsidRDefault="003B40DD" w:rsidP="003B40DD">
      <w:r w:rsidRPr="005B3ABD">
        <w:rPr>
          <w:rStyle w:val="HideTWBExt"/>
          <w:noProof w:val="0"/>
          <w:color w:val="auto"/>
        </w:rPr>
        <w:t>&lt;Article2&gt;</w:t>
      </w:r>
      <w:r w:rsidRPr="005B3ABD">
        <w:t>Article 151(3)</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C4A0D3E" w14:textId="77777777" w:rsidTr="00882D36">
        <w:trPr>
          <w:jc w:val="center"/>
        </w:trPr>
        <w:tc>
          <w:tcPr>
            <w:tcW w:w="9752" w:type="dxa"/>
            <w:gridSpan w:val="2"/>
          </w:tcPr>
          <w:p w14:paraId="4DE3EEB9" w14:textId="77777777" w:rsidR="003B40DD" w:rsidRPr="005B3ABD" w:rsidRDefault="003B40DD" w:rsidP="00882D36">
            <w:pPr>
              <w:keepNext/>
            </w:pPr>
          </w:p>
        </w:tc>
      </w:tr>
      <w:tr w:rsidR="003B40DD" w:rsidRPr="005B3ABD" w14:paraId="18465444" w14:textId="77777777" w:rsidTr="00882D36">
        <w:trPr>
          <w:jc w:val="center"/>
        </w:trPr>
        <w:tc>
          <w:tcPr>
            <w:tcW w:w="4876" w:type="dxa"/>
          </w:tcPr>
          <w:p w14:paraId="7FEADBC9" w14:textId="77777777" w:rsidR="003B40DD" w:rsidRPr="005B3ABD" w:rsidRDefault="003B40DD" w:rsidP="00882D36">
            <w:pPr>
              <w:pStyle w:val="ColumnHeading"/>
              <w:keepNext/>
              <w:rPr>
                <w:color w:val="0000FA"/>
              </w:rPr>
            </w:pPr>
            <w:r w:rsidRPr="005B3ABD">
              <w:t>This text</w:t>
            </w:r>
          </w:p>
        </w:tc>
        <w:tc>
          <w:tcPr>
            <w:tcW w:w="4876" w:type="dxa"/>
          </w:tcPr>
          <w:p w14:paraId="6FFEAD2C" w14:textId="77777777" w:rsidR="003B40DD" w:rsidRPr="005B3ABD" w:rsidRDefault="003B40DD" w:rsidP="00882D36">
            <w:pPr>
              <w:pStyle w:val="ColumnHeading"/>
              <w:keepNext/>
              <w:rPr>
                <w:color w:val="0000F5"/>
              </w:rPr>
            </w:pPr>
            <w:r w:rsidRPr="005B3ABD">
              <w:t>Amendment</w:t>
            </w:r>
          </w:p>
        </w:tc>
      </w:tr>
      <w:tr w:rsidR="003B40DD" w:rsidRPr="005B3ABD" w14:paraId="57C06D29" w14:textId="77777777" w:rsidTr="00882D36">
        <w:trPr>
          <w:jc w:val="center"/>
        </w:trPr>
        <w:tc>
          <w:tcPr>
            <w:tcW w:w="4876" w:type="dxa"/>
          </w:tcPr>
          <w:p w14:paraId="5D1B821A" w14:textId="77777777" w:rsidR="003B40DD" w:rsidRPr="005B3ABD" w:rsidRDefault="003B40DD" w:rsidP="00882D36">
            <w:pPr>
              <w:pStyle w:val="Normal6"/>
              <w:rPr>
                <w:color w:val="0000FA"/>
              </w:rPr>
            </w:pPr>
          </w:p>
        </w:tc>
        <w:tc>
          <w:tcPr>
            <w:tcW w:w="4876" w:type="dxa"/>
          </w:tcPr>
          <w:p w14:paraId="035B11A4" w14:textId="77777777" w:rsidR="003B40DD" w:rsidRPr="005B3ABD" w:rsidRDefault="003B40DD" w:rsidP="00882D36">
            <w:pPr>
              <w:pStyle w:val="Normal6"/>
              <w:rPr>
                <w:color w:val="000005"/>
                <w:szCs w:val="24"/>
              </w:rPr>
            </w:pPr>
            <w:r w:rsidRPr="005B3ABD">
              <w:rPr>
                <w:b/>
                <w:i/>
              </w:rPr>
              <w:t>(22 c)</w:t>
            </w:r>
            <w:r w:rsidRPr="005B3ABD">
              <w:rPr>
                <w:b/>
                <w:i/>
              </w:rPr>
              <w:tab/>
              <w:t>In Article 151, the third paragraph is replaced by the following:</w:t>
            </w:r>
          </w:p>
        </w:tc>
      </w:tr>
      <w:tr w:rsidR="003B40DD" w:rsidRPr="005B3ABD" w14:paraId="07B79D39" w14:textId="77777777" w:rsidTr="00882D36">
        <w:trPr>
          <w:jc w:val="center"/>
        </w:trPr>
        <w:tc>
          <w:tcPr>
            <w:tcW w:w="4876" w:type="dxa"/>
          </w:tcPr>
          <w:p w14:paraId="0C289AA9" w14:textId="77777777" w:rsidR="003B40DD" w:rsidRPr="005B3ABD" w:rsidRDefault="003B40DD" w:rsidP="00882D36">
            <w:pPr>
              <w:pStyle w:val="Normal6"/>
              <w:rPr>
                <w:color w:val="0000FA"/>
              </w:rPr>
            </w:pPr>
            <w:r w:rsidRPr="005B3ABD">
              <w:t>Member States shall notify the Commission of the quantity of raw milk referred to in the first subparagraph.</w:t>
            </w:r>
          </w:p>
        </w:tc>
        <w:tc>
          <w:tcPr>
            <w:tcW w:w="4876" w:type="dxa"/>
          </w:tcPr>
          <w:p w14:paraId="0CC1F3EE" w14:textId="77777777" w:rsidR="003B40DD" w:rsidRPr="005B3ABD" w:rsidRDefault="003B40DD" w:rsidP="00882D36">
            <w:pPr>
              <w:pStyle w:val="Normal6"/>
              <w:rPr>
                <w:szCs w:val="24"/>
              </w:rPr>
            </w:pPr>
            <w:r w:rsidRPr="005B3ABD">
              <w:t xml:space="preserve">“Member States shall notify the Commission of the quantity of raw milk </w:t>
            </w:r>
            <w:r w:rsidRPr="005B3ABD">
              <w:rPr>
                <w:b/>
                <w:bCs/>
                <w:i/>
                <w:iCs/>
              </w:rPr>
              <w:t>and the average price</w:t>
            </w:r>
            <w:r w:rsidRPr="005B3ABD">
              <w:rPr>
                <w:b/>
                <w:bCs/>
              </w:rPr>
              <w:t xml:space="preserve"> </w:t>
            </w:r>
            <w:r w:rsidRPr="005B3ABD">
              <w:t xml:space="preserve">referred to in the first subparagraph.” </w:t>
            </w:r>
          </w:p>
        </w:tc>
      </w:tr>
    </w:tbl>
    <w:p w14:paraId="2A174A2E"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A85A292" w14:textId="77777777" w:rsidR="003B40DD" w:rsidRPr="005B3ABD" w:rsidRDefault="003B40DD" w:rsidP="003B40DD">
      <w:pPr>
        <w:pStyle w:val="CrossRef"/>
      </w:pPr>
      <w:r w:rsidRPr="005B3ABD">
        <w:t>(https://eur-lex.europa.eu/legal-content/EN/TXT/?uri=CELEX:02013R1308-20180101)</w:t>
      </w:r>
    </w:p>
    <w:p w14:paraId="53BAAF6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BE7DFA1" w14:textId="77777777" w:rsidR="003B40DD" w:rsidRPr="005B3ABD" w:rsidRDefault="003B40DD" w:rsidP="003B40DD">
      <w:pPr>
        <w:pStyle w:val="Normal12Italic"/>
      </w:pPr>
      <w:r w:rsidRPr="005B3ABD">
        <w:t>To ensure a better monitoring of the milk market, the average prices charged must be provided in addition to the amounts of raw milk collected. The declaration procedure is already under way, the collection of an additional data element merely needs to be added. The argument that price fixing could delay the collection of information on volumes should be rejected: the purpose of Article 148 is in fact to push collectors to establish a purchase price as soon as possible through written contracts.</w:t>
      </w:r>
    </w:p>
    <w:p w14:paraId="497AFBD4" w14:textId="77777777" w:rsidR="003B40DD" w:rsidRPr="005B3ABD" w:rsidRDefault="003B40DD" w:rsidP="003B40DD">
      <w:r w:rsidRPr="005B3ABD">
        <w:rPr>
          <w:rStyle w:val="HideTWBExt"/>
          <w:noProof w:val="0"/>
          <w:color w:val="auto"/>
        </w:rPr>
        <w:t>&lt;/Amend&gt;</w:t>
      </w:r>
    </w:p>
    <w:p w14:paraId="16174168"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46</w:t>
      </w:r>
      <w:r w:rsidRPr="005B3ABD">
        <w:rPr>
          <w:rStyle w:val="HideTWBExt"/>
          <w:b w:val="0"/>
          <w:noProof w:val="0"/>
          <w:color w:val="auto"/>
        </w:rPr>
        <w:t>&lt;/NumAm&gt;</w:t>
      </w:r>
    </w:p>
    <w:p w14:paraId="1534E35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90228B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d (new)</w:t>
      </w:r>
      <w:r w:rsidRPr="005B3ABD">
        <w:rPr>
          <w:rStyle w:val="HideTWBExt"/>
          <w:b w:val="0"/>
          <w:noProof w:val="0"/>
          <w:color w:val="auto"/>
        </w:rPr>
        <w:t>&lt;/Article&gt;</w:t>
      </w:r>
    </w:p>
    <w:p w14:paraId="52DFEEF5"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3DF12FA" w14:textId="77777777" w:rsidR="003B40DD" w:rsidRPr="005B3ABD" w:rsidRDefault="003B40DD" w:rsidP="003B40DD">
      <w:r w:rsidRPr="005B3ABD">
        <w:rPr>
          <w:rStyle w:val="HideTWBExt"/>
          <w:noProof w:val="0"/>
          <w:color w:val="auto"/>
        </w:rPr>
        <w:t>&lt;Article2&gt;</w:t>
      </w:r>
      <w:r w:rsidRPr="005B3ABD">
        <w:t>Article 152 – paragraph 1a – subparagraph 1</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3B566C2" w14:textId="77777777" w:rsidTr="00882D36">
        <w:trPr>
          <w:jc w:val="center"/>
        </w:trPr>
        <w:tc>
          <w:tcPr>
            <w:tcW w:w="9752" w:type="dxa"/>
            <w:gridSpan w:val="2"/>
          </w:tcPr>
          <w:p w14:paraId="4FE80930" w14:textId="77777777" w:rsidR="003B40DD" w:rsidRPr="005B3ABD" w:rsidRDefault="003B40DD" w:rsidP="00882D36">
            <w:pPr>
              <w:keepNext/>
            </w:pPr>
          </w:p>
        </w:tc>
      </w:tr>
      <w:tr w:rsidR="003B40DD" w:rsidRPr="005B3ABD" w14:paraId="3B6241D1" w14:textId="77777777" w:rsidTr="00882D36">
        <w:trPr>
          <w:jc w:val="center"/>
        </w:trPr>
        <w:tc>
          <w:tcPr>
            <w:tcW w:w="4876" w:type="dxa"/>
          </w:tcPr>
          <w:p w14:paraId="3133DEAB" w14:textId="77777777" w:rsidR="003B40DD" w:rsidRPr="005B3ABD" w:rsidRDefault="003B40DD" w:rsidP="00882D36">
            <w:pPr>
              <w:pStyle w:val="ColumnHeading"/>
              <w:keepNext/>
              <w:rPr>
                <w:color w:val="0000FA"/>
              </w:rPr>
            </w:pPr>
            <w:r w:rsidRPr="005B3ABD">
              <w:t>This text</w:t>
            </w:r>
          </w:p>
        </w:tc>
        <w:tc>
          <w:tcPr>
            <w:tcW w:w="4876" w:type="dxa"/>
          </w:tcPr>
          <w:p w14:paraId="2DF216D2" w14:textId="77777777" w:rsidR="003B40DD" w:rsidRPr="005B3ABD" w:rsidRDefault="003B40DD" w:rsidP="00882D36">
            <w:pPr>
              <w:pStyle w:val="ColumnHeading"/>
              <w:keepNext/>
              <w:rPr>
                <w:color w:val="0000F5"/>
              </w:rPr>
            </w:pPr>
            <w:r w:rsidRPr="005B3ABD">
              <w:t>Amendment</w:t>
            </w:r>
          </w:p>
        </w:tc>
      </w:tr>
      <w:tr w:rsidR="003B40DD" w:rsidRPr="005B3ABD" w14:paraId="6EF5BD84" w14:textId="77777777" w:rsidTr="00882D36">
        <w:trPr>
          <w:jc w:val="center"/>
        </w:trPr>
        <w:tc>
          <w:tcPr>
            <w:tcW w:w="4876" w:type="dxa"/>
          </w:tcPr>
          <w:p w14:paraId="4383CC5D" w14:textId="77777777" w:rsidR="003B40DD" w:rsidRPr="005B3ABD" w:rsidRDefault="003B40DD" w:rsidP="00882D36">
            <w:pPr>
              <w:pStyle w:val="Normal6"/>
              <w:rPr>
                <w:color w:val="0000FA"/>
              </w:rPr>
            </w:pPr>
          </w:p>
        </w:tc>
        <w:tc>
          <w:tcPr>
            <w:tcW w:w="4876" w:type="dxa"/>
          </w:tcPr>
          <w:p w14:paraId="3243D2AB" w14:textId="77777777" w:rsidR="003B40DD" w:rsidRPr="005B3ABD" w:rsidRDefault="003B40DD" w:rsidP="00882D36">
            <w:pPr>
              <w:pStyle w:val="Normal6"/>
              <w:rPr>
                <w:b/>
                <w:i/>
                <w:color w:val="000005"/>
                <w:szCs w:val="24"/>
              </w:rPr>
            </w:pPr>
            <w:r w:rsidRPr="005B3ABD">
              <w:rPr>
                <w:b/>
                <w:i/>
              </w:rPr>
              <w:t>(22 d)</w:t>
            </w:r>
            <w:r w:rsidRPr="005B3ABD">
              <w:rPr>
                <w:b/>
                <w:i/>
              </w:rPr>
              <w:tab/>
              <w:t>In Article 152(1a), the first subparagraph is replaced by the following:</w:t>
            </w:r>
          </w:p>
        </w:tc>
      </w:tr>
      <w:tr w:rsidR="003B40DD" w:rsidRPr="005B3ABD" w14:paraId="72314DF7" w14:textId="77777777" w:rsidTr="00882D36">
        <w:trPr>
          <w:jc w:val="center"/>
        </w:trPr>
        <w:tc>
          <w:tcPr>
            <w:tcW w:w="4876" w:type="dxa"/>
          </w:tcPr>
          <w:p w14:paraId="64745129" w14:textId="77777777" w:rsidR="003B40DD" w:rsidRPr="005B3ABD" w:rsidRDefault="003B40DD" w:rsidP="00882D36">
            <w:pPr>
              <w:pStyle w:val="Normal6"/>
              <w:rPr>
                <w:color w:val="0000FA"/>
              </w:rPr>
            </w:pPr>
            <w:r w:rsidRPr="005B3ABD">
              <w:rPr>
                <w:b/>
                <w:bCs/>
                <w:i/>
                <w:iCs/>
              </w:rPr>
              <w:t>By way of derogation from Article 101(1) TFEU, a</w:t>
            </w:r>
            <w:r w:rsidRPr="005B3ABD">
              <w:t xml:space="preserve"> producer organisation recognised under paragraph 1 of this Article may plan production, optimise the production costs, place on the market and negotiate contracts for the supply of agricultural products, on behalf of its members for all or part of their total production.</w:t>
            </w:r>
          </w:p>
        </w:tc>
        <w:tc>
          <w:tcPr>
            <w:tcW w:w="4876" w:type="dxa"/>
          </w:tcPr>
          <w:p w14:paraId="5D5A746C" w14:textId="77777777" w:rsidR="003B40DD" w:rsidRPr="005B3ABD" w:rsidRDefault="003B40DD" w:rsidP="00882D36">
            <w:pPr>
              <w:pStyle w:val="Normal6"/>
              <w:rPr>
                <w:color w:val="000005"/>
                <w:szCs w:val="24"/>
              </w:rPr>
            </w:pPr>
            <w:r w:rsidRPr="005B3ABD">
              <w:rPr>
                <w:b/>
                <w:bCs/>
                <w:i/>
                <w:iCs/>
              </w:rPr>
              <w:t>A</w:t>
            </w:r>
            <w:r w:rsidRPr="005B3ABD">
              <w:t xml:space="preserve"> producer organisation recognised under paragraph 1 of this Article may plan production, optimise the production costs, place on the market and negotiate contracts for the supply of agricultural products, on behalf of its members for all or part of their total production</w:t>
            </w:r>
            <w:r w:rsidRPr="005B3ABD">
              <w:rPr>
                <w:b/>
                <w:bCs/>
                <w:i/>
                <w:iCs/>
              </w:rPr>
              <w:t>, if one of the activities referred to in paragraph 1(b)(i-vii) of this article is actually exercised, thus contributing to the attainment of the goals stated in Article 39 of the TFEU</w:t>
            </w:r>
            <w:r w:rsidRPr="005B3ABD">
              <w:t>.</w:t>
            </w:r>
          </w:p>
        </w:tc>
      </w:tr>
      <w:tr w:rsidR="003B40DD" w:rsidRPr="005B3ABD" w14:paraId="2EE35DDC" w14:textId="77777777" w:rsidTr="00882D36">
        <w:trPr>
          <w:jc w:val="center"/>
        </w:trPr>
        <w:tc>
          <w:tcPr>
            <w:tcW w:w="4876" w:type="dxa"/>
          </w:tcPr>
          <w:p w14:paraId="6888EACC" w14:textId="77777777" w:rsidR="003B40DD" w:rsidRPr="005B3ABD" w:rsidRDefault="003B40DD" w:rsidP="00882D36">
            <w:pPr>
              <w:pStyle w:val="Normal6"/>
              <w:rPr>
                <w:color w:val="0000FA"/>
              </w:rPr>
            </w:pPr>
          </w:p>
        </w:tc>
        <w:tc>
          <w:tcPr>
            <w:tcW w:w="4876" w:type="dxa"/>
          </w:tcPr>
          <w:p w14:paraId="67A48DDE" w14:textId="77777777" w:rsidR="003B40DD" w:rsidRPr="005B3ABD" w:rsidRDefault="003B40DD" w:rsidP="00882D36">
            <w:pPr>
              <w:pStyle w:val="Normal6"/>
              <w:rPr>
                <w:szCs w:val="24"/>
              </w:rPr>
            </w:pPr>
            <w:r w:rsidRPr="005B3ABD">
              <w:rPr>
                <w:b/>
                <w:i/>
              </w:rPr>
              <w:t xml:space="preserve">Collective bargaining as referred to in the first subparagraph may take place:” </w:t>
            </w:r>
          </w:p>
        </w:tc>
      </w:tr>
    </w:tbl>
    <w:p w14:paraId="63947D1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28FAFB9" w14:textId="77777777" w:rsidR="003B40DD" w:rsidRPr="005B3ABD" w:rsidRDefault="003B40DD" w:rsidP="003B40DD">
      <w:pPr>
        <w:pStyle w:val="CrossRef"/>
      </w:pPr>
      <w:r w:rsidRPr="005B3ABD">
        <w:t>(https://eur-lex.europa.eu/legal-content/EN/TXT/?uri=CELEX:02013R1308-20180101)</w:t>
      </w:r>
    </w:p>
    <w:p w14:paraId="6D553A4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9A9891C" w14:textId="6AD6FC71" w:rsidR="003B40DD" w:rsidRPr="005B3ABD" w:rsidRDefault="003B40DD" w:rsidP="003B40DD">
      <w:pPr>
        <w:pStyle w:val="Normal12Italic"/>
      </w:pPr>
      <w:r w:rsidRPr="005B3ABD">
        <w:t>Agreements, practices and decisions that form part of the tasks and goals of producer organisations defined by the CAP, as Advocate-General Wahl and the European Court of Justice noted in the</w:t>
      </w:r>
      <w:r w:rsidR="009D2C84" w:rsidRPr="005B3ABD">
        <w:t xml:space="preserve"> </w:t>
      </w:r>
      <w:r w:rsidRPr="005B3ABD">
        <w:t>‘Endives case’, are excluded from competition rules. This exclusion stems from the need to pursue the tasks that the legislator has entrusted to key players in the CMO. The reference to Article 101(1) is deleted becomes meaningless.</w:t>
      </w:r>
    </w:p>
    <w:p w14:paraId="77FDF6C6" w14:textId="77777777" w:rsidR="003B40DD" w:rsidRPr="005B3ABD" w:rsidRDefault="003B40DD" w:rsidP="003B40DD">
      <w:r w:rsidRPr="005B3ABD">
        <w:rPr>
          <w:rStyle w:val="HideTWBExt"/>
          <w:noProof w:val="0"/>
          <w:color w:val="auto"/>
        </w:rPr>
        <w:t>&lt;/Amend&gt;</w:t>
      </w:r>
    </w:p>
    <w:p w14:paraId="1CA5D604"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47</w:t>
      </w:r>
      <w:r w:rsidRPr="005B3ABD">
        <w:rPr>
          <w:rStyle w:val="HideTWBExt"/>
          <w:b w:val="0"/>
          <w:noProof w:val="0"/>
          <w:color w:val="auto"/>
        </w:rPr>
        <w:t>&lt;/NumAm&gt;</w:t>
      </w:r>
    </w:p>
    <w:p w14:paraId="2110180C"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01773E8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e (new)</w:t>
      </w:r>
      <w:r w:rsidRPr="005B3ABD">
        <w:rPr>
          <w:rStyle w:val="HideTWBExt"/>
          <w:b w:val="0"/>
          <w:noProof w:val="0"/>
          <w:color w:val="auto"/>
        </w:rPr>
        <w:t>&lt;/Article&gt;</w:t>
      </w:r>
    </w:p>
    <w:p w14:paraId="56A5B2E7"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DCD322B" w14:textId="77777777" w:rsidR="003B40DD" w:rsidRPr="005B3ABD" w:rsidRDefault="003B40DD" w:rsidP="003B40DD">
      <w:r w:rsidRPr="005B3ABD">
        <w:rPr>
          <w:rStyle w:val="HideTWBExt"/>
          <w:noProof w:val="0"/>
          <w:color w:val="auto"/>
        </w:rPr>
        <w:t>&lt;Article2&gt;</w:t>
      </w:r>
      <w:r w:rsidRPr="005B3ABD">
        <w:t>Article 152 – paragraph 1a – subparagraph 2 – point a</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F82AA77" w14:textId="77777777" w:rsidTr="00882D36">
        <w:trPr>
          <w:jc w:val="center"/>
        </w:trPr>
        <w:tc>
          <w:tcPr>
            <w:tcW w:w="9752" w:type="dxa"/>
            <w:gridSpan w:val="2"/>
          </w:tcPr>
          <w:p w14:paraId="340A704B" w14:textId="77777777" w:rsidR="003B40DD" w:rsidRPr="005B3ABD" w:rsidRDefault="003B40DD" w:rsidP="00882D36">
            <w:pPr>
              <w:keepNext/>
            </w:pPr>
          </w:p>
        </w:tc>
      </w:tr>
      <w:tr w:rsidR="003B40DD" w:rsidRPr="005B3ABD" w14:paraId="0286A194" w14:textId="77777777" w:rsidTr="00882D36">
        <w:trPr>
          <w:jc w:val="center"/>
        </w:trPr>
        <w:tc>
          <w:tcPr>
            <w:tcW w:w="4876" w:type="dxa"/>
          </w:tcPr>
          <w:p w14:paraId="22D25A12" w14:textId="77777777" w:rsidR="003B40DD" w:rsidRPr="005B3ABD" w:rsidRDefault="003B40DD" w:rsidP="00882D36">
            <w:pPr>
              <w:pStyle w:val="ColumnHeading"/>
              <w:keepNext/>
              <w:rPr>
                <w:color w:val="0000FA"/>
              </w:rPr>
            </w:pPr>
            <w:r w:rsidRPr="005B3ABD">
              <w:t>Text proposed by the Commission</w:t>
            </w:r>
          </w:p>
        </w:tc>
        <w:tc>
          <w:tcPr>
            <w:tcW w:w="4876" w:type="dxa"/>
          </w:tcPr>
          <w:p w14:paraId="7AD618E9" w14:textId="77777777" w:rsidR="003B40DD" w:rsidRPr="005B3ABD" w:rsidRDefault="003B40DD" w:rsidP="00882D36">
            <w:pPr>
              <w:pStyle w:val="ColumnHeading"/>
              <w:keepNext/>
              <w:rPr>
                <w:color w:val="0000F5"/>
              </w:rPr>
            </w:pPr>
            <w:r w:rsidRPr="005B3ABD">
              <w:t>Amendment</w:t>
            </w:r>
          </w:p>
        </w:tc>
      </w:tr>
      <w:tr w:rsidR="003B40DD" w:rsidRPr="005B3ABD" w14:paraId="1B5E892C" w14:textId="77777777" w:rsidTr="00882D36">
        <w:trPr>
          <w:jc w:val="center"/>
        </w:trPr>
        <w:tc>
          <w:tcPr>
            <w:tcW w:w="4876" w:type="dxa"/>
          </w:tcPr>
          <w:p w14:paraId="01F152DB" w14:textId="77777777" w:rsidR="003B40DD" w:rsidRPr="005B3ABD" w:rsidRDefault="003B40DD" w:rsidP="00882D36">
            <w:pPr>
              <w:pStyle w:val="Normal6"/>
              <w:rPr>
                <w:b/>
                <w:i/>
                <w:color w:val="0000FA"/>
              </w:rPr>
            </w:pPr>
          </w:p>
        </w:tc>
        <w:tc>
          <w:tcPr>
            <w:tcW w:w="4876" w:type="dxa"/>
          </w:tcPr>
          <w:p w14:paraId="220455DB" w14:textId="77777777" w:rsidR="003B40DD" w:rsidRPr="005B3ABD" w:rsidRDefault="003B40DD" w:rsidP="00882D36">
            <w:pPr>
              <w:pStyle w:val="Normal6"/>
              <w:rPr>
                <w:b/>
                <w:i/>
                <w:szCs w:val="24"/>
              </w:rPr>
            </w:pPr>
            <w:r w:rsidRPr="005B3ABD">
              <w:rPr>
                <w:b/>
                <w:i/>
              </w:rPr>
              <w:t>(22 e)</w:t>
            </w:r>
            <w:r w:rsidRPr="005B3ABD">
              <w:rPr>
                <w:b/>
                <w:i/>
              </w:rPr>
              <w:tab/>
              <w:t>In article 152(1 a), point (a) is deleted</w:t>
            </w:r>
          </w:p>
        </w:tc>
      </w:tr>
    </w:tbl>
    <w:p w14:paraId="14C12E4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2195D11" w14:textId="77777777" w:rsidR="003B40DD" w:rsidRPr="005B3ABD" w:rsidRDefault="003B40DD" w:rsidP="003B40DD">
      <w:pPr>
        <w:pStyle w:val="CrossRef"/>
      </w:pPr>
      <w:r w:rsidRPr="005B3ABD">
        <w:t>(https://eur-lex.europa.eu/legal-content/EN/TXT/?uri=CELEX:02013R1308-20180101)</w:t>
      </w:r>
    </w:p>
    <w:p w14:paraId="3214380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CB56E9B" w14:textId="77777777" w:rsidR="003B40DD" w:rsidRPr="005B3ABD" w:rsidRDefault="003B40DD" w:rsidP="003B40DD">
      <w:pPr>
        <w:pStyle w:val="Normal12Italic"/>
      </w:pPr>
      <w:r w:rsidRPr="005B3ABD">
        <w:t>This part is deleted as it is taken up in the first subparagraph of the amended Article 152 a. These amendments clarify Article 152(1)(a).</w:t>
      </w:r>
    </w:p>
    <w:p w14:paraId="67610DE4" w14:textId="77777777" w:rsidR="003B40DD" w:rsidRPr="005B3ABD" w:rsidRDefault="003B40DD" w:rsidP="003B40DD">
      <w:r w:rsidRPr="005B3ABD">
        <w:rPr>
          <w:rStyle w:val="HideTWBExt"/>
          <w:noProof w:val="0"/>
          <w:color w:val="auto"/>
        </w:rPr>
        <w:t>&lt;/Amend&gt;</w:t>
      </w:r>
    </w:p>
    <w:p w14:paraId="04FF9F46"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48</w:t>
      </w:r>
      <w:r w:rsidRPr="005B3ABD">
        <w:rPr>
          <w:rStyle w:val="HideTWBExt"/>
          <w:b w:val="0"/>
          <w:noProof w:val="0"/>
          <w:color w:val="auto"/>
        </w:rPr>
        <w:t>&lt;/NumAm&gt;</w:t>
      </w:r>
    </w:p>
    <w:p w14:paraId="5D8DE54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7A2562C"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f (new)</w:t>
      </w:r>
      <w:r w:rsidRPr="005B3ABD">
        <w:rPr>
          <w:rStyle w:val="HideTWBExt"/>
          <w:b w:val="0"/>
          <w:noProof w:val="0"/>
          <w:color w:val="auto"/>
        </w:rPr>
        <w:t>&lt;/Article&gt;</w:t>
      </w:r>
    </w:p>
    <w:p w14:paraId="19D0AD5A"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5972797" w14:textId="77777777" w:rsidR="003B40DD" w:rsidRPr="005B3ABD" w:rsidRDefault="003B40DD" w:rsidP="003B40DD">
      <w:r w:rsidRPr="005B3ABD">
        <w:rPr>
          <w:rStyle w:val="HideTWBExt"/>
          <w:noProof w:val="0"/>
          <w:color w:val="auto"/>
        </w:rPr>
        <w:t>&lt;Article2&gt;</w:t>
      </w:r>
      <w:r w:rsidRPr="005B3ABD">
        <w:t>Article 152 – paragraph 1a – subparagraph 2 – point b</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2B02C08" w14:textId="77777777" w:rsidTr="00882D36">
        <w:trPr>
          <w:jc w:val="center"/>
        </w:trPr>
        <w:tc>
          <w:tcPr>
            <w:tcW w:w="9752" w:type="dxa"/>
            <w:gridSpan w:val="2"/>
          </w:tcPr>
          <w:p w14:paraId="42D6BA26" w14:textId="77777777" w:rsidR="003B40DD" w:rsidRPr="005B3ABD" w:rsidRDefault="003B40DD" w:rsidP="00882D36">
            <w:pPr>
              <w:keepNext/>
            </w:pPr>
          </w:p>
        </w:tc>
      </w:tr>
      <w:tr w:rsidR="003B40DD" w:rsidRPr="005B3ABD" w14:paraId="5F01DED4" w14:textId="77777777" w:rsidTr="00882D36">
        <w:trPr>
          <w:jc w:val="center"/>
        </w:trPr>
        <w:tc>
          <w:tcPr>
            <w:tcW w:w="4876" w:type="dxa"/>
          </w:tcPr>
          <w:p w14:paraId="7B95FBC8" w14:textId="77777777" w:rsidR="003B40DD" w:rsidRPr="005B3ABD" w:rsidRDefault="003B40DD" w:rsidP="00882D36">
            <w:pPr>
              <w:pStyle w:val="ColumnHeading"/>
              <w:keepNext/>
              <w:rPr>
                <w:color w:val="0000FA"/>
              </w:rPr>
            </w:pPr>
            <w:r w:rsidRPr="005B3ABD">
              <w:t>This text</w:t>
            </w:r>
          </w:p>
        </w:tc>
        <w:tc>
          <w:tcPr>
            <w:tcW w:w="4876" w:type="dxa"/>
          </w:tcPr>
          <w:p w14:paraId="43E90F6F" w14:textId="77777777" w:rsidR="003B40DD" w:rsidRPr="005B3ABD" w:rsidRDefault="003B40DD" w:rsidP="00882D36">
            <w:pPr>
              <w:pStyle w:val="ColumnHeading"/>
              <w:keepNext/>
              <w:rPr>
                <w:color w:val="0000F5"/>
              </w:rPr>
            </w:pPr>
            <w:r w:rsidRPr="005B3ABD">
              <w:t>Amendment</w:t>
            </w:r>
          </w:p>
        </w:tc>
      </w:tr>
      <w:tr w:rsidR="003B40DD" w:rsidRPr="005B3ABD" w14:paraId="7CB16B37" w14:textId="77777777" w:rsidTr="00882D36">
        <w:trPr>
          <w:jc w:val="center"/>
        </w:trPr>
        <w:tc>
          <w:tcPr>
            <w:tcW w:w="4876" w:type="dxa"/>
          </w:tcPr>
          <w:p w14:paraId="65CE4C1F" w14:textId="77777777" w:rsidR="003B40DD" w:rsidRPr="005B3ABD" w:rsidRDefault="003B40DD" w:rsidP="00882D36">
            <w:pPr>
              <w:pStyle w:val="Normal6"/>
              <w:rPr>
                <w:color w:val="0000FA"/>
              </w:rPr>
            </w:pPr>
          </w:p>
        </w:tc>
        <w:tc>
          <w:tcPr>
            <w:tcW w:w="4876" w:type="dxa"/>
          </w:tcPr>
          <w:p w14:paraId="364B2AB0" w14:textId="77777777" w:rsidR="003B40DD" w:rsidRPr="005B3ABD" w:rsidRDefault="003B40DD" w:rsidP="00882D36">
            <w:pPr>
              <w:pStyle w:val="Normal6"/>
              <w:rPr>
                <w:color w:val="000005"/>
                <w:szCs w:val="24"/>
              </w:rPr>
            </w:pPr>
            <w:r w:rsidRPr="005B3ABD">
              <w:rPr>
                <w:b/>
                <w:i/>
              </w:rPr>
              <w:t>(22 f)</w:t>
            </w:r>
            <w:r w:rsidRPr="005B3ABD">
              <w:rPr>
                <w:b/>
                <w:i/>
              </w:rPr>
              <w:tab/>
              <w:t>In the second subparagraph of Article 152(1), point (b) is replaced by the following:</w:t>
            </w:r>
          </w:p>
        </w:tc>
      </w:tr>
      <w:tr w:rsidR="003B40DD" w:rsidRPr="005B3ABD" w14:paraId="6E7EC18B" w14:textId="77777777" w:rsidTr="00882D36">
        <w:trPr>
          <w:jc w:val="center"/>
        </w:trPr>
        <w:tc>
          <w:tcPr>
            <w:tcW w:w="4876" w:type="dxa"/>
          </w:tcPr>
          <w:p w14:paraId="3D6B0F8C" w14:textId="77777777" w:rsidR="003B40DD" w:rsidRPr="005B3ABD" w:rsidRDefault="003B40DD" w:rsidP="00882D36">
            <w:pPr>
              <w:pStyle w:val="Normal6"/>
              <w:rPr>
                <w:color w:val="0000FA"/>
              </w:rPr>
            </w:pPr>
            <w:r w:rsidRPr="005B3ABD">
              <w:t xml:space="preserve">(b) provided that the producer organisation concentrates supply and places the products of its members on the market, </w:t>
            </w:r>
            <w:r w:rsidRPr="005B3ABD">
              <w:rPr>
                <w:b/>
                <w:bCs/>
                <w:i/>
                <w:iCs/>
              </w:rPr>
              <w:t>whether or not there is a</w:t>
            </w:r>
            <w:r w:rsidRPr="005B3ABD">
              <w:t xml:space="preserve"> transfer of ownership of </w:t>
            </w:r>
            <w:r w:rsidRPr="005B3ABD">
              <w:rPr>
                <w:b/>
                <w:bCs/>
                <w:i/>
                <w:iCs/>
              </w:rPr>
              <w:t>agricultural</w:t>
            </w:r>
            <w:r w:rsidRPr="005B3ABD">
              <w:t xml:space="preserve"> products </w:t>
            </w:r>
            <w:r w:rsidRPr="005B3ABD">
              <w:rPr>
                <w:b/>
                <w:bCs/>
                <w:i/>
                <w:iCs/>
              </w:rPr>
              <w:t>by the producers</w:t>
            </w:r>
            <w:r w:rsidRPr="005B3ABD">
              <w:t xml:space="preserve"> to the producer organisation;</w:t>
            </w:r>
          </w:p>
        </w:tc>
        <w:tc>
          <w:tcPr>
            <w:tcW w:w="4876" w:type="dxa"/>
          </w:tcPr>
          <w:p w14:paraId="4F403D5C" w14:textId="77777777" w:rsidR="003B40DD" w:rsidRPr="005B3ABD" w:rsidRDefault="003B40DD" w:rsidP="00882D36">
            <w:pPr>
              <w:pStyle w:val="Normal6"/>
              <w:rPr>
                <w:szCs w:val="24"/>
              </w:rPr>
            </w:pPr>
            <w:r w:rsidRPr="005B3ABD">
              <w:t xml:space="preserve">“(b) provided that the producer organisation concentrates supply and places the products of its members on the market, </w:t>
            </w:r>
            <w:r w:rsidRPr="005B3ABD">
              <w:rPr>
                <w:b/>
                <w:bCs/>
                <w:i/>
                <w:iCs/>
              </w:rPr>
              <w:t>without any</w:t>
            </w:r>
            <w:r w:rsidRPr="005B3ABD">
              <w:rPr>
                <w:b/>
                <w:bCs/>
              </w:rPr>
              <w:t xml:space="preserve"> </w:t>
            </w:r>
            <w:r w:rsidRPr="005B3ABD">
              <w:t xml:space="preserve">transfer of ownership of </w:t>
            </w:r>
            <w:r w:rsidRPr="005B3ABD">
              <w:rPr>
                <w:b/>
                <w:bCs/>
                <w:i/>
                <w:iCs/>
              </w:rPr>
              <w:t>those</w:t>
            </w:r>
            <w:r w:rsidRPr="005B3ABD">
              <w:t xml:space="preserve"> products to the producer organisation</w:t>
            </w:r>
            <w:r w:rsidRPr="005B3ABD">
              <w:rPr>
                <w:b/>
                <w:bCs/>
                <w:i/>
                <w:iCs/>
              </w:rPr>
              <w:t>.</w:t>
            </w:r>
            <w:r w:rsidRPr="005B3ABD">
              <w:rPr>
                <w:b/>
                <w:bCs/>
              </w:rPr>
              <w:t>”</w:t>
            </w:r>
            <w:r w:rsidRPr="005B3ABD">
              <w:t xml:space="preserve"> </w:t>
            </w:r>
          </w:p>
        </w:tc>
      </w:tr>
    </w:tbl>
    <w:p w14:paraId="0FD3EA8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FD83E30" w14:textId="77777777" w:rsidR="003B40DD" w:rsidRPr="005B3ABD" w:rsidRDefault="003B40DD" w:rsidP="003B40DD">
      <w:pPr>
        <w:pStyle w:val="CrossRef"/>
      </w:pPr>
      <w:r w:rsidRPr="005B3ABD">
        <w:t>(https://eur-lex.europa.eu/legal-content/EN/TXT/?uri=CELEX:02013R1308-20180101)</w:t>
      </w:r>
    </w:p>
    <w:p w14:paraId="35D6A3C9"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6562286" w14:textId="77777777" w:rsidR="003B40DD" w:rsidRPr="005B3ABD" w:rsidRDefault="003B40DD" w:rsidP="003B40DD">
      <w:pPr>
        <w:pStyle w:val="Normal12Italic"/>
      </w:pPr>
      <w:r w:rsidRPr="005B3ABD">
        <w:t>Collective bargaining activities in the name and on behalf of farmers who are members of an organisation only concern non-commercial structures without transfer of ownership. This means that producer organisations like cooperatives that sell the produce of their members are the owners of this produce and are therefore not concerned by collective bargaining since they are acting as a single entity. The reference to transfer of ownership is therefore deleted.</w:t>
      </w:r>
    </w:p>
    <w:p w14:paraId="3177339D" w14:textId="77777777" w:rsidR="003B40DD" w:rsidRPr="005B3ABD" w:rsidRDefault="003B40DD" w:rsidP="003B40DD">
      <w:r w:rsidRPr="005B3ABD">
        <w:rPr>
          <w:rStyle w:val="HideTWBExt"/>
          <w:noProof w:val="0"/>
          <w:color w:val="auto"/>
        </w:rPr>
        <w:t>&lt;/Amend&gt;</w:t>
      </w:r>
    </w:p>
    <w:p w14:paraId="36B2A4C5"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49</w:t>
      </w:r>
      <w:r w:rsidRPr="005B3ABD">
        <w:rPr>
          <w:rStyle w:val="HideTWBExt"/>
          <w:b w:val="0"/>
          <w:noProof w:val="0"/>
          <w:color w:val="auto"/>
        </w:rPr>
        <w:t>&lt;/NumAm&gt;</w:t>
      </w:r>
    </w:p>
    <w:p w14:paraId="7E67DDE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1B8B39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g (new)</w:t>
      </w:r>
      <w:r w:rsidRPr="005B3ABD">
        <w:rPr>
          <w:rStyle w:val="HideTWBExt"/>
          <w:b w:val="0"/>
          <w:noProof w:val="0"/>
          <w:color w:val="auto"/>
        </w:rPr>
        <w:t>&lt;/Article&gt;</w:t>
      </w:r>
    </w:p>
    <w:p w14:paraId="55CDBAFC"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08B3262" w14:textId="77777777" w:rsidR="003B40DD" w:rsidRPr="005B3ABD" w:rsidRDefault="003B40DD" w:rsidP="003B40DD">
      <w:r w:rsidRPr="005B3ABD">
        <w:rPr>
          <w:rStyle w:val="HideTWBExt"/>
          <w:noProof w:val="0"/>
          <w:color w:val="auto"/>
        </w:rPr>
        <w:t>&lt;Article2&gt;</w:t>
      </w:r>
      <w:r w:rsidRPr="005B3ABD">
        <w:t>Article 157 – paragraph 1 – point c – introductory part</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9F6643B" w14:textId="77777777" w:rsidTr="00882D36">
        <w:trPr>
          <w:jc w:val="center"/>
        </w:trPr>
        <w:tc>
          <w:tcPr>
            <w:tcW w:w="9752" w:type="dxa"/>
            <w:gridSpan w:val="2"/>
          </w:tcPr>
          <w:p w14:paraId="0718B578" w14:textId="77777777" w:rsidR="003B40DD" w:rsidRPr="005B3ABD" w:rsidRDefault="003B40DD" w:rsidP="00882D36">
            <w:pPr>
              <w:keepNext/>
            </w:pPr>
          </w:p>
        </w:tc>
      </w:tr>
      <w:tr w:rsidR="003B40DD" w:rsidRPr="005B3ABD" w14:paraId="4D47FBEA" w14:textId="77777777" w:rsidTr="00882D36">
        <w:trPr>
          <w:jc w:val="center"/>
        </w:trPr>
        <w:tc>
          <w:tcPr>
            <w:tcW w:w="4876" w:type="dxa"/>
          </w:tcPr>
          <w:p w14:paraId="5C7008A5" w14:textId="77777777" w:rsidR="003B40DD" w:rsidRPr="005B3ABD" w:rsidRDefault="003B40DD" w:rsidP="00882D36">
            <w:pPr>
              <w:pStyle w:val="ColumnHeading"/>
              <w:keepNext/>
              <w:rPr>
                <w:color w:val="0000FA"/>
              </w:rPr>
            </w:pPr>
            <w:r w:rsidRPr="005B3ABD">
              <w:t>This text</w:t>
            </w:r>
          </w:p>
        </w:tc>
        <w:tc>
          <w:tcPr>
            <w:tcW w:w="4876" w:type="dxa"/>
          </w:tcPr>
          <w:p w14:paraId="51087A48" w14:textId="77777777" w:rsidR="003B40DD" w:rsidRPr="005B3ABD" w:rsidRDefault="003B40DD" w:rsidP="00882D36">
            <w:pPr>
              <w:pStyle w:val="ColumnHeading"/>
              <w:keepNext/>
              <w:rPr>
                <w:color w:val="0000F5"/>
              </w:rPr>
            </w:pPr>
            <w:r w:rsidRPr="005B3ABD">
              <w:t>Amendment</w:t>
            </w:r>
          </w:p>
        </w:tc>
      </w:tr>
      <w:tr w:rsidR="003B40DD" w:rsidRPr="005B3ABD" w14:paraId="4A7E0199" w14:textId="77777777" w:rsidTr="00882D36">
        <w:trPr>
          <w:jc w:val="center"/>
        </w:trPr>
        <w:tc>
          <w:tcPr>
            <w:tcW w:w="4876" w:type="dxa"/>
          </w:tcPr>
          <w:p w14:paraId="5D981F17" w14:textId="77777777" w:rsidR="003B40DD" w:rsidRPr="005B3ABD" w:rsidRDefault="003B40DD" w:rsidP="00882D36">
            <w:pPr>
              <w:pStyle w:val="Normal6"/>
              <w:rPr>
                <w:color w:val="0000FA"/>
              </w:rPr>
            </w:pPr>
          </w:p>
        </w:tc>
        <w:tc>
          <w:tcPr>
            <w:tcW w:w="4876" w:type="dxa"/>
          </w:tcPr>
          <w:p w14:paraId="2FEDA274" w14:textId="77777777" w:rsidR="003B40DD" w:rsidRPr="005B3ABD" w:rsidRDefault="003B40DD" w:rsidP="00882D36">
            <w:pPr>
              <w:pStyle w:val="Normal6"/>
              <w:rPr>
                <w:color w:val="000005"/>
                <w:szCs w:val="24"/>
              </w:rPr>
            </w:pPr>
            <w:r w:rsidRPr="005B3ABD">
              <w:rPr>
                <w:b/>
                <w:i/>
              </w:rPr>
              <w:t>(22 g)</w:t>
            </w:r>
            <w:r w:rsidRPr="005B3ABD">
              <w:rPr>
                <w:b/>
                <w:i/>
              </w:rPr>
              <w:tab/>
              <w:t>In Article 157(1), point (c) is replaced by the following:</w:t>
            </w:r>
          </w:p>
        </w:tc>
      </w:tr>
      <w:tr w:rsidR="003B40DD" w:rsidRPr="005B3ABD" w14:paraId="2C9B8A5A" w14:textId="77777777" w:rsidTr="00882D36">
        <w:trPr>
          <w:jc w:val="center"/>
        </w:trPr>
        <w:tc>
          <w:tcPr>
            <w:tcW w:w="4876" w:type="dxa"/>
          </w:tcPr>
          <w:p w14:paraId="5F103308" w14:textId="77777777" w:rsidR="003B40DD" w:rsidRPr="005B3ABD" w:rsidRDefault="003B40DD" w:rsidP="00882D36">
            <w:pPr>
              <w:pStyle w:val="Normal6"/>
              <w:rPr>
                <w:color w:val="0000FA"/>
              </w:rPr>
            </w:pPr>
            <w:r w:rsidRPr="005B3ABD">
              <w:t>(c) pursue a specific aim taking account of the interests of their members and of consumers, which may include, in particular, one of the following objectives:</w:t>
            </w:r>
          </w:p>
        </w:tc>
        <w:tc>
          <w:tcPr>
            <w:tcW w:w="4876" w:type="dxa"/>
          </w:tcPr>
          <w:p w14:paraId="0B829BB1" w14:textId="77777777" w:rsidR="003B40DD" w:rsidRPr="005B3ABD" w:rsidRDefault="003B40DD" w:rsidP="00882D36">
            <w:pPr>
              <w:pStyle w:val="Normal6"/>
              <w:rPr>
                <w:szCs w:val="24"/>
              </w:rPr>
            </w:pPr>
            <w:r w:rsidRPr="005B3ABD">
              <w:t xml:space="preserve">“(c) pursue a specific aim taking account of the interests of </w:t>
            </w:r>
            <w:r w:rsidRPr="005B3ABD">
              <w:rPr>
                <w:b/>
                <w:bCs/>
                <w:i/>
                <w:iCs/>
              </w:rPr>
              <w:t>all</w:t>
            </w:r>
            <w:r w:rsidRPr="005B3ABD">
              <w:rPr>
                <w:b/>
                <w:bCs/>
              </w:rPr>
              <w:t xml:space="preserve"> </w:t>
            </w:r>
            <w:r w:rsidRPr="005B3ABD">
              <w:t xml:space="preserve">their members and of consumers, which may include, in particular, one of the following objectives:” </w:t>
            </w:r>
          </w:p>
        </w:tc>
      </w:tr>
    </w:tbl>
    <w:p w14:paraId="6617693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B2D8BD3" w14:textId="77777777" w:rsidR="003B40DD" w:rsidRPr="005B3ABD" w:rsidRDefault="003B40DD" w:rsidP="003B40DD">
      <w:pPr>
        <w:pStyle w:val="CrossRef"/>
      </w:pPr>
      <w:r w:rsidRPr="005B3ABD">
        <w:t>(https://eur-lex.europa.eu/legal-content/EN/TXT/?uri=CELEX:02013R1308-20180101)</w:t>
      </w:r>
    </w:p>
    <w:p w14:paraId="0D59F3C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EE8B4E9" w14:textId="77777777" w:rsidR="003B40DD" w:rsidRPr="005B3ABD" w:rsidRDefault="003B40DD" w:rsidP="003B40DD">
      <w:pPr>
        <w:pStyle w:val="Normal12Italic"/>
      </w:pPr>
      <w:r w:rsidRPr="005B3ABD">
        <w:t>Interbranch organisations, which are often managed by dominant economic players in the sector, should strive to defend the interests of all their members, including those of the economically most fragile players or players involved in more marginal productions of activities.</w:t>
      </w:r>
    </w:p>
    <w:p w14:paraId="50713645" w14:textId="77777777" w:rsidR="003B40DD" w:rsidRPr="005B3ABD" w:rsidRDefault="003B40DD" w:rsidP="003B40DD">
      <w:r w:rsidRPr="005B3ABD">
        <w:rPr>
          <w:rStyle w:val="HideTWBExt"/>
          <w:noProof w:val="0"/>
          <w:color w:val="auto"/>
        </w:rPr>
        <w:t>&lt;/Amend&gt;</w:t>
      </w:r>
    </w:p>
    <w:p w14:paraId="0F3CB5AA"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50</w:t>
      </w:r>
      <w:r w:rsidRPr="005B3ABD">
        <w:rPr>
          <w:rStyle w:val="HideTWBExt"/>
          <w:b w:val="0"/>
          <w:noProof w:val="0"/>
          <w:color w:val="auto"/>
        </w:rPr>
        <w:t>&lt;/NumAm&gt;</w:t>
      </w:r>
    </w:p>
    <w:p w14:paraId="2711F97A"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79C721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h (new)</w:t>
      </w:r>
      <w:r w:rsidRPr="005B3ABD">
        <w:rPr>
          <w:rStyle w:val="HideTWBExt"/>
          <w:b w:val="0"/>
          <w:noProof w:val="0"/>
          <w:color w:val="auto"/>
        </w:rPr>
        <w:t>&lt;/Article&gt;</w:t>
      </w:r>
    </w:p>
    <w:p w14:paraId="47D0F195"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5D0C143" w14:textId="77777777" w:rsidR="003B40DD" w:rsidRPr="005B3ABD" w:rsidRDefault="003B40DD" w:rsidP="003B40DD">
      <w:r w:rsidRPr="005B3ABD">
        <w:rPr>
          <w:rStyle w:val="HideTWBExt"/>
          <w:noProof w:val="0"/>
          <w:color w:val="auto"/>
        </w:rPr>
        <w:t>&lt;Article2&gt;</w:t>
      </w:r>
      <w:r w:rsidRPr="005B3ABD">
        <w:t>Article 157 – paragraph 1 – point c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6E33069" w14:textId="77777777" w:rsidTr="00882D36">
        <w:trPr>
          <w:jc w:val="center"/>
        </w:trPr>
        <w:tc>
          <w:tcPr>
            <w:tcW w:w="9752" w:type="dxa"/>
            <w:gridSpan w:val="2"/>
          </w:tcPr>
          <w:p w14:paraId="249302E7" w14:textId="77777777" w:rsidR="003B40DD" w:rsidRPr="005B3ABD" w:rsidRDefault="003B40DD" w:rsidP="00882D36">
            <w:pPr>
              <w:keepNext/>
            </w:pPr>
          </w:p>
        </w:tc>
      </w:tr>
      <w:tr w:rsidR="003B40DD" w:rsidRPr="005B3ABD" w14:paraId="470520BD" w14:textId="77777777" w:rsidTr="00882D36">
        <w:trPr>
          <w:jc w:val="center"/>
        </w:trPr>
        <w:tc>
          <w:tcPr>
            <w:tcW w:w="4876" w:type="dxa"/>
          </w:tcPr>
          <w:p w14:paraId="44C4F37A" w14:textId="77777777" w:rsidR="003B40DD" w:rsidRPr="005B3ABD" w:rsidRDefault="003B40DD" w:rsidP="00882D36">
            <w:pPr>
              <w:pStyle w:val="ColumnHeading"/>
              <w:keepNext/>
              <w:rPr>
                <w:color w:val="0000FA"/>
              </w:rPr>
            </w:pPr>
            <w:r w:rsidRPr="005B3ABD">
              <w:t>Text proposed by the Commission</w:t>
            </w:r>
          </w:p>
        </w:tc>
        <w:tc>
          <w:tcPr>
            <w:tcW w:w="4876" w:type="dxa"/>
          </w:tcPr>
          <w:p w14:paraId="52BD6629" w14:textId="77777777" w:rsidR="003B40DD" w:rsidRPr="005B3ABD" w:rsidRDefault="003B40DD" w:rsidP="00882D36">
            <w:pPr>
              <w:pStyle w:val="ColumnHeading"/>
              <w:keepNext/>
              <w:rPr>
                <w:color w:val="0000F5"/>
              </w:rPr>
            </w:pPr>
            <w:r w:rsidRPr="005B3ABD">
              <w:t>Amendment</w:t>
            </w:r>
          </w:p>
        </w:tc>
      </w:tr>
      <w:tr w:rsidR="003B40DD" w:rsidRPr="005B3ABD" w14:paraId="6AC50169" w14:textId="77777777" w:rsidTr="00882D36">
        <w:trPr>
          <w:jc w:val="center"/>
        </w:trPr>
        <w:tc>
          <w:tcPr>
            <w:tcW w:w="4876" w:type="dxa"/>
          </w:tcPr>
          <w:p w14:paraId="2AC5D771" w14:textId="77777777" w:rsidR="003B40DD" w:rsidRPr="005B3ABD" w:rsidRDefault="003B40DD" w:rsidP="00882D36">
            <w:pPr>
              <w:pStyle w:val="Normal6"/>
              <w:rPr>
                <w:color w:val="0000FA"/>
              </w:rPr>
            </w:pPr>
          </w:p>
        </w:tc>
        <w:tc>
          <w:tcPr>
            <w:tcW w:w="4876" w:type="dxa"/>
          </w:tcPr>
          <w:p w14:paraId="02E6C94B" w14:textId="77777777" w:rsidR="003B40DD" w:rsidRPr="005B3ABD" w:rsidRDefault="003B40DD" w:rsidP="00882D36">
            <w:pPr>
              <w:pStyle w:val="Normal6"/>
              <w:rPr>
                <w:color w:val="000005"/>
                <w:szCs w:val="24"/>
              </w:rPr>
            </w:pPr>
            <w:r w:rsidRPr="005B3ABD">
              <w:rPr>
                <w:b/>
                <w:i/>
              </w:rPr>
              <w:t>(22 h)</w:t>
            </w:r>
            <w:r w:rsidRPr="005B3ABD">
              <w:rPr>
                <w:b/>
                <w:i/>
              </w:rPr>
              <w:tab/>
              <w:t>In Article 157, paragraph 1, the following point is inserted:</w:t>
            </w:r>
          </w:p>
        </w:tc>
      </w:tr>
      <w:tr w:rsidR="003B40DD" w:rsidRPr="005B3ABD" w14:paraId="056FC804" w14:textId="77777777" w:rsidTr="00882D36">
        <w:trPr>
          <w:jc w:val="center"/>
        </w:trPr>
        <w:tc>
          <w:tcPr>
            <w:tcW w:w="4876" w:type="dxa"/>
          </w:tcPr>
          <w:p w14:paraId="22D3F7B5" w14:textId="77777777" w:rsidR="003B40DD" w:rsidRPr="005B3ABD" w:rsidRDefault="003B40DD" w:rsidP="00882D36">
            <w:pPr>
              <w:pStyle w:val="Normal6"/>
              <w:rPr>
                <w:color w:val="0000FA"/>
              </w:rPr>
            </w:pPr>
          </w:p>
        </w:tc>
        <w:tc>
          <w:tcPr>
            <w:tcW w:w="4876" w:type="dxa"/>
          </w:tcPr>
          <w:p w14:paraId="38D2AE26" w14:textId="77777777" w:rsidR="003B40DD" w:rsidRPr="005B3ABD" w:rsidRDefault="003B40DD" w:rsidP="00882D36">
            <w:pPr>
              <w:pStyle w:val="Normal6"/>
              <w:rPr>
                <w:szCs w:val="24"/>
              </w:rPr>
            </w:pPr>
            <w:r w:rsidRPr="005B3ABD">
              <w:rPr>
                <w:b/>
                <w:i/>
              </w:rPr>
              <w:t>(c a) contribute to greater transparency in trade relations between the various links in the chain, in particular through the design, implementation and compliance control of technical standards by members of the sector;</w:t>
            </w:r>
          </w:p>
        </w:tc>
      </w:tr>
    </w:tbl>
    <w:p w14:paraId="2C58FD9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D069121"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2FFA8D0F" w14:textId="77777777" w:rsidR="003B40DD" w:rsidRPr="005B3ABD" w:rsidRDefault="003B40DD" w:rsidP="003B40DD">
      <w:pPr>
        <w:pStyle w:val="Normal12Italic"/>
      </w:pPr>
      <w:r w:rsidRPr="005B3ABD">
        <w:t>Interbranch organisations can today adopt rules for the marketing of products.  But they may also adopt technical rules (fat content, marbling in meat, etc.) with the aim to harmonise the evaluation of product characteristics throughout the chain to prevent distortion of competition between operators. It is therefore necessary to secure the implementation and control of such technical standards as a task of IOs.</w:t>
      </w:r>
    </w:p>
    <w:p w14:paraId="3A024BD8" w14:textId="77777777" w:rsidR="003B40DD" w:rsidRPr="005B3ABD" w:rsidRDefault="003B40DD" w:rsidP="003B40DD">
      <w:r w:rsidRPr="005B3ABD">
        <w:rPr>
          <w:rStyle w:val="HideTWBExt"/>
          <w:noProof w:val="0"/>
          <w:color w:val="auto"/>
        </w:rPr>
        <w:t>&lt;/Amend&gt;</w:t>
      </w:r>
    </w:p>
    <w:p w14:paraId="3F7F20F7"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51</w:t>
      </w:r>
      <w:r w:rsidRPr="005B3ABD">
        <w:rPr>
          <w:rStyle w:val="HideTWBExt"/>
          <w:b w:val="0"/>
          <w:noProof w:val="0"/>
          <w:color w:val="auto"/>
        </w:rPr>
        <w:t>&lt;/NumAm&gt;</w:t>
      </w:r>
    </w:p>
    <w:p w14:paraId="0B2084D7"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994EF2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i (new)</w:t>
      </w:r>
      <w:r w:rsidRPr="005B3ABD">
        <w:rPr>
          <w:rStyle w:val="HideTWBExt"/>
          <w:b w:val="0"/>
          <w:noProof w:val="0"/>
          <w:color w:val="auto"/>
        </w:rPr>
        <w:t>&lt;/Article&gt;</w:t>
      </w:r>
    </w:p>
    <w:p w14:paraId="61A80DE6"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72A2346" w14:textId="77777777" w:rsidR="003B40DD" w:rsidRPr="005B3ABD" w:rsidRDefault="003B40DD" w:rsidP="003B40DD">
      <w:r w:rsidRPr="005B3ABD">
        <w:rPr>
          <w:rStyle w:val="HideTWBExt"/>
          <w:noProof w:val="0"/>
          <w:color w:val="auto"/>
        </w:rPr>
        <w:t>&lt;Article2&gt;</w:t>
      </w:r>
      <w:r w:rsidRPr="005B3ABD">
        <w:t>Article 157 – paragraph 1 – point v</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D2F9AE0" w14:textId="77777777" w:rsidTr="00882D36">
        <w:trPr>
          <w:jc w:val="center"/>
        </w:trPr>
        <w:tc>
          <w:tcPr>
            <w:tcW w:w="9752" w:type="dxa"/>
            <w:gridSpan w:val="2"/>
          </w:tcPr>
          <w:p w14:paraId="7697EB6D" w14:textId="77777777" w:rsidR="003B40DD" w:rsidRPr="005B3ABD" w:rsidRDefault="003B40DD" w:rsidP="00882D36">
            <w:pPr>
              <w:keepNext/>
            </w:pPr>
          </w:p>
        </w:tc>
      </w:tr>
      <w:tr w:rsidR="003B40DD" w:rsidRPr="005B3ABD" w14:paraId="6774EF56" w14:textId="77777777" w:rsidTr="00882D36">
        <w:trPr>
          <w:jc w:val="center"/>
        </w:trPr>
        <w:tc>
          <w:tcPr>
            <w:tcW w:w="4876" w:type="dxa"/>
          </w:tcPr>
          <w:p w14:paraId="66555AF7" w14:textId="77777777" w:rsidR="003B40DD" w:rsidRPr="005B3ABD" w:rsidRDefault="003B40DD" w:rsidP="00882D36">
            <w:pPr>
              <w:pStyle w:val="ColumnHeading"/>
              <w:keepNext/>
              <w:rPr>
                <w:color w:val="0000FA"/>
              </w:rPr>
            </w:pPr>
            <w:r w:rsidRPr="005B3ABD">
              <w:t>This text</w:t>
            </w:r>
          </w:p>
        </w:tc>
        <w:tc>
          <w:tcPr>
            <w:tcW w:w="4876" w:type="dxa"/>
          </w:tcPr>
          <w:p w14:paraId="738F9C87" w14:textId="77777777" w:rsidR="003B40DD" w:rsidRPr="005B3ABD" w:rsidRDefault="003B40DD" w:rsidP="00882D36">
            <w:pPr>
              <w:pStyle w:val="ColumnHeading"/>
              <w:keepNext/>
              <w:rPr>
                <w:color w:val="0000F5"/>
              </w:rPr>
            </w:pPr>
            <w:r w:rsidRPr="005B3ABD">
              <w:t>Amendment</w:t>
            </w:r>
          </w:p>
        </w:tc>
      </w:tr>
      <w:tr w:rsidR="003B40DD" w:rsidRPr="005B3ABD" w14:paraId="0F8437A0" w14:textId="77777777" w:rsidTr="00882D36">
        <w:trPr>
          <w:jc w:val="center"/>
        </w:trPr>
        <w:tc>
          <w:tcPr>
            <w:tcW w:w="4876" w:type="dxa"/>
          </w:tcPr>
          <w:p w14:paraId="0C0E9FAB" w14:textId="77777777" w:rsidR="003B40DD" w:rsidRPr="005B3ABD" w:rsidRDefault="003B40DD" w:rsidP="00882D36">
            <w:pPr>
              <w:pStyle w:val="Normal6"/>
              <w:rPr>
                <w:color w:val="0000FA"/>
              </w:rPr>
            </w:pPr>
          </w:p>
        </w:tc>
        <w:tc>
          <w:tcPr>
            <w:tcW w:w="4876" w:type="dxa"/>
          </w:tcPr>
          <w:p w14:paraId="28102C67" w14:textId="77777777" w:rsidR="003B40DD" w:rsidRPr="005B3ABD" w:rsidRDefault="003B40DD" w:rsidP="00882D36">
            <w:pPr>
              <w:pStyle w:val="Normal6"/>
              <w:rPr>
                <w:color w:val="000005"/>
                <w:szCs w:val="24"/>
              </w:rPr>
            </w:pPr>
            <w:r w:rsidRPr="005B3ABD">
              <w:rPr>
                <w:b/>
                <w:i/>
              </w:rPr>
              <w:t>(22 i)</w:t>
            </w:r>
            <w:r w:rsidRPr="005B3ABD">
              <w:rPr>
                <w:b/>
                <w:i/>
              </w:rPr>
              <w:tab/>
              <w:t>In Article 157(1), point (v) is replaced by the following:</w:t>
            </w:r>
          </w:p>
        </w:tc>
      </w:tr>
      <w:tr w:rsidR="003B40DD" w:rsidRPr="005B3ABD" w14:paraId="4F0320FC" w14:textId="77777777" w:rsidTr="00882D36">
        <w:trPr>
          <w:jc w:val="center"/>
        </w:trPr>
        <w:tc>
          <w:tcPr>
            <w:tcW w:w="4876" w:type="dxa"/>
          </w:tcPr>
          <w:p w14:paraId="5E569E2F" w14:textId="77777777" w:rsidR="003B40DD" w:rsidRPr="005B3ABD" w:rsidRDefault="003B40DD" w:rsidP="00882D36">
            <w:pPr>
              <w:pStyle w:val="Normal6"/>
              <w:rPr>
                <w:color w:val="0000FA"/>
              </w:rPr>
            </w:pPr>
            <w:r w:rsidRPr="005B3ABD">
              <w:t>(v) without prejudice to Articles 148 and 168, drawing up standard forms of contract, compatible with Union rules, for the sale of agricultural products to purchasers and/or the supply of processed products to distributors and retailers, taking into account the need to achieve fair competitive conditions and to avoid market distortions;</w:t>
            </w:r>
          </w:p>
        </w:tc>
        <w:tc>
          <w:tcPr>
            <w:tcW w:w="4876" w:type="dxa"/>
          </w:tcPr>
          <w:p w14:paraId="3BFF5F98" w14:textId="77777777" w:rsidR="003B40DD" w:rsidRPr="005B3ABD" w:rsidRDefault="003B40DD" w:rsidP="00882D36">
            <w:pPr>
              <w:pStyle w:val="Normal6"/>
              <w:rPr>
                <w:szCs w:val="24"/>
              </w:rPr>
            </w:pPr>
            <w:r w:rsidRPr="005B3ABD">
              <w:t xml:space="preserve">“(v) without prejudice to Articles 148 and 168, drawing up standard forms of contract </w:t>
            </w:r>
            <w:r w:rsidRPr="005B3ABD">
              <w:rPr>
                <w:b/>
                <w:bCs/>
                <w:i/>
                <w:iCs/>
              </w:rPr>
              <w:t>that may involve two or more operators in the sector</w:t>
            </w:r>
            <w:r w:rsidRPr="005B3ABD">
              <w:t xml:space="preserve">, compatible with Union rules, for the sale of agricultural products to purchasers and/or the supply of processed products to distributors and retailers, taking into account the need to achieve fair competitive conditions and to avoid market distortions; </w:t>
            </w:r>
            <w:r w:rsidRPr="005B3ABD">
              <w:rPr>
                <w:b/>
                <w:i/>
              </w:rPr>
              <w:t>these standard forms of contract may contain relevant indicators and economic indices based on relevant production costs and their development, but also take account of product categories and their different market opportunities, product valuation indicators, the prices of agricultural and food products observed on the markets and variations therein, and criteria pertaining to the composition, quality, traceability and content of product specifications.”</w:t>
            </w:r>
            <w:r w:rsidRPr="005B3ABD">
              <w:t xml:space="preserve"> </w:t>
            </w:r>
          </w:p>
        </w:tc>
      </w:tr>
    </w:tbl>
    <w:p w14:paraId="46154A6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9D4FA22" w14:textId="77777777" w:rsidR="003B40DD" w:rsidRPr="005B3ABD" w:rsidRDefault="003B40DD" w:rsidP="003B40DD">
      <w:pPr>
        <w:pStyle w:val="CrossRef"/>
      </w:pPr>
      <w:r w:rsidRPr="005B3ABD">
        <w:t>(https://eur-lex.europa.eu/legal-content/EN/TXT/?uri=CELEX:02013R1308-20180101)</w:t>
      </w:r>
    </w:p>
    <w:p w14:paraId="3A8CCF95"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470449D1" w14:textId="77777777" w:rsidR="003B40DD" w:rsidRPr="005B3ABD" w:rsidRDefault="003B40DD" w:rsidP="003B40DD">
      <w:pPr>
        <w:pStyle w:val="Normal12Italic"/>
      </w:pPr>
      <w:r w:rsidRPr="005B3ABD">
        <w:t>Interbranch organisations may assist with contracts between two or more stakeholders in the supply chain (tripartite contract) and may provide more specific elements with regard to the content of current standard contracts. These arrangements would facilitate contracting in the sector and help to create value in particular by improving quality. This would also help to improve farmers’ income.</w:t>
      </w:r>
    </w:p>
    <w:p w14:paraId="0A90A3BB" w14:textId="77777777" w:rsidR="003B40DD" w:rsidRPr="005B3ABD" w:rsidRDefault="003B40DD" w:rsidP="003B40DD">
      <w:r w:rsidRPr="005B3ABD">
        <w:rPr>
          <w:rStyle w:val="HideTWBExt"/>
          <w:noProof w:val="0"/>
          <w:color w:val="auto"/>
        </w:rPr>
        <w:t>&lt;/Amend&gt;</w:t>
      </w:r>
    </w:p>
    <w:p w14:paraId="0E90779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52</w:t>
      </w:r>
      <w:r w:rsidRPr="005B3ABD">
        <w:rPr>
          <w:rStyle w:val="HideTWBExt"/>
          <w:b w:val="0"/>
          <w:noProof w:val="0"/>
          <w:color w:val="auto"/>
        </w:rPr>
        <w:t>&lt;/NumAm&gt;</w:t>
      </w:r>
    </w:p>
    <w:p w14:paraId="5748DEE7"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19C3835"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j (new)</w:t>
      </w:r>
      <w:r w:rsidRPr="005B3ABD">
        <w:rPr>
          <w:rStyle w:val="HideTWBExt"/>
          <w:b w:val="0"/>
          <w:noProof w:val="0"/>
          <w:color w:val="auto"/>
        </w:rPr>
        <w:t>&lt;/Article&gt;</w:t>
      </w:r>
    </w:p>
    <w:p w14:paraId="01251F80"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836279A" w14:textId="77777777" w:rsidR="003B40DD" w:rsidRPr="005B3ABD" w:rsidRDefault="003B40DD" w:rsidP="003B40DD">
      <w:r w:rsidRPr="005B3ABD">
        <w:rPr>
          <w:rStyle w:val="HideTWBExt"/>
          <w:noProof w:val="0"/>
          <w:color w:val="auto"/>
        </w:rPr>
        <w:t>&lt;Article2&gt;</w:t>
      </w:r>
      <w:r w:rsidRPr="005B3ABD">
        <w:t>Article 157 – paragraph 1 – point xv</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DCAACD6" w14:textId="77777777" w:rsidTr="00882D36">
        <w:trPr>
          <w:jc w:val="center"/>
        </w:trPr>
        <w:tc>
          <w:tcPr>
            <w:tcW w:w="9752" w:type="dxa"/>
            <w:gridSpan w:val="2"/>
          </w:tcPr>
          <w:p w14:paraId="2099F7F8" w14:textId="77777777" w:rsidR="003B40DD" w:rsidRPr="005B3ABD" w:rsidRDefault="003B40DD" w:rsidP="00882D36">
            <w:pPr>
              <w:keepNext/>
            </w:pPr>
          </w:p>
        </w:tc>
      </w:tr>
      <w:tr w:rsidR="003B40DD" w:rsidRPr="005B3ABD" w14:paraId="76CE753B" w14:textId="77777777" w:rsidTr="00882D36">
        <w:trPr>
          <w:jc w:val="center"/>
        </w:trPr>
        <w:tc>
          <w:tcPr>
            <w:tcW w:w="4876" w:type="dxa"/>
          </w:tcPr>
          <w:p w14:paraId="735577BA" w14:textId="77777777" w:rsidR="003B40DD" w:rsidRPr="005B3ABD" w:rsidRDefault="003B40DD" w:rsidP="00882D36">
            <w:pPr>
              <w:pStyle w:val="ColumnHeading"/>
              <w:keepNext/>
              <w:rPr>
                <w:color w:val="0000FA"/>
              </w:rPr>
            </w:pPr>
            <w:r w:rsidRPr="005B3ABD">
              <w:t>This text</w:t>
            </w:r>
          </w:p>
        </w:tc>
        <w:tc>
          <w:tcPr>
            <w:tcW w:w="4876" w:type="dxa"/>
          </w:tcPr>
          <w:p w14:paraId="30DF04F8" w14:textId="77777777" w:rsidR="003B40DD" w:rsidRPr="005B3ABD" w:rsidRDefault="003B40DD" w:rsidP="00882D36">
            <w:pPr>
              <w:pStyle w:val="ColumnHeading"/>
              <w:keepNext/>
              <w:rPr>
                <w:color w:val="0000F5"/>
              </w:rPr>
            </w:pPr>
            <w:r w:rsidRPr="005B3ABD">
              <w:t>Amendment</w:t>
            </w:r>
          </w:p>
        </w:tc>
      </w:tr>
      <w:tr w:rsidR="003B40DD" w:rsidRPr="005B3ABD" w14:paraId="0D2FC3B7" w14:textId="77777777" w:rsidTr="00882D36">
        <w:trPr>
          <w:jc w:val="center"/>
        </w:trPr>
        <w:tc>
          <w:tcPr>
            <w:tcW w:w="4876" w:type="dxa"/>
          </w:tcPr>
          <w:p w14:paraId="69746226" w14:textId="77777777" w:rsidR="003B40DD" w:rsidRPr="005B3ABD" w:rsidRDefault="003B40DD" w:rsidP="00882D36">
            <w:pPr>
              <w:pStyle w:val="Normal6"/>
              <w:rPr>
                <w:color w:val="0000FA"/>
              </w:rPr>
            </w:pPr>
          </w:p>
        </w:tc>
        <w:tc>
          <w:tcPr>
            <w:tcW w:w="4876" w:type="dxa"/>
          </w:tcPr>
          <w:p w14:paraId="30E6469D" w14:textId="77777777" w:rsidR="003B40DD" w:rsidRPr="005B3ABD" w:rsidRDefault="003B40DD" w:rsidP="00882D36">
            <w:pPr>
              <w:pStyle w:val="Normal6"/>
              <w:rPr>
                <w:color w:val="000005"/>
                <w:szCs w:val="24"/>
              </w:rPr>
            </w:pPr>
            <w:r w:rsidRPr="005B3ABD">
              <w:rPr>
                <w:b/>
                <w:i/>
              </w:rPr>
              <w:t>(22 j)</w:t>
            </w:r>
            <w:r w:rsidRPr="005B3ABD">
              <w:rPr>
                <w:b/>
                <w:i/>
              </w:rPr>
              <w:tab/>
              <w:t>In Article 157(1), point (xv) is replaced by the following:</w:t>
            </w:r>
          </w:p>
        </w:tc>
      </w:tr>
      <w:tr w:rsidR="003B40DD" w:rsidRPr="005B3ABD" w14:paraId="08F097C4" w14:textId="77777777" w:rsidTr="00882D36">
        <w:trPr>
          <w:jc w:val="center"/>
        </w:trPr>
        <w:tc>
          <w:tcPr>
            <w:tcW w:w="4876" w:type="dxa"/>
          </w:tcPr>
          <w:p w14:paraId="7C73EC50" w14:textId="77777777" w:rsidR="003B40DD" w:rsidRPr="005B3ABD" w:rsidRDefault="003B40DD" w:rsidP="00882D36">
            <w:pPr>
              <w:pStyle w:val="Normal6"/>
              <w:rPr>
                <w:color w:val="0000FA"/>
              </w:rPr>
            </w:pPr>
            <w:r w:rsidRPr="005B3ABD">
              <w:t xml:space="preserve">(xv) establishing standard value sharing clauses </w:t>
            </w:r>
            <w:r w:rsidRPr="005B3ABD">
              <w:rPr>
                <w:b/>
                <w:bCs/>
                <w:i/>
                <w:iCs/>
              </w:rPr>
              <w:t>within the meaning of Article 172a</w:t>
            </w:r>
            <w:r w:rsidRPr="005B3ABD">
              <w:t xml:space="preserve">, including market bonuses and losses, determining how any evolution of relevant market prices of the products concerned or other commodity markets is to be allocated between </w:t>
            </w:r>
            <w:r w:rsidRPr="005B3ABD">
              <w:rPr>
                <w:b/>
                <w:bCs/>
                <w:i/>
                <w:iCs/>
              </w:rPr>
              <w:t>them</w:t>
            </w:r>
            <w:r w:rsidRPr="005B3ABD">
              <w:t>;</w:t>
            </w:r>
          </w:p>
        </w:tc>
        <w:tc>
          <w:tcPr>
            <w:tcW w:w="4876" w:type="dxa"/>
          </w:tcPr>
          <w:p w14:paraId="063DB90B" w14:textId="77777777" w:rsidR="003B40DD" w:rsidRPr="005B3ABD" w:rsidRDefault="003B40DD" w:rsidP="00882D36">
            <w:pPr>
              <w:pStyle w:val="Normal6"/>
              <w:rPr>
                <w:szCs w:val="24"/>
              </w:rPr>
            </w:pPr>
            <w:r w:rsidRPr="005B3ABD">
              <w:t xml:space="preserve">“(xv) establishing standard value sharing clauses, including market bonuses and losses, determining how any evolution of relevant market prices of the products concerned or other commodity markets is to be allocated between </w:t>
            </w:r>
            <w:r w:rsidRPr="005B3ABD">
              <w:rPr>
                <w:b/>
                <w:bCs/>
                <w:i/>
                <w:iCs/>
              </w:rPr>
              <w:t>players in the supply chain</w:t>
            </w:r>
            <w:r w:rsidRPr="005B3ABD">
              <w:t xml:space="preserve">;” </w:t>
            </w:r>
          </w:p>
        </w:tc>
      </w:tr>
    </w:tbl>
    <w:p w14:paraId="10FAF998"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7460953" w14:textId="77777777" w:rsidR="003B40DD" w:rsidRPr="005B3ABD" w:rsidRDefault="003B40DD" w:rsidP="003B40DD">
      <w:pPr>
        <w:pStyle w:val="CrossRef"/>
      </w:pPr>
      <w:r w:rsidRPr="005B3ABD">
        <w:t>(https://eur-lex.europa.eu/legal-content/EN/TXT/?uri=CELEX:02013R1308-20180101)</w:t>
      </w:r>
    </w:p>
    <w:p w14:paraId="24E0651C"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F93A03D" w14:textId="77777777" w:rsidR="003B40DD" w:rsidRPr="005B3ABD" w:rsidRDefault="003B40DD" w:rsidP="003B40DD">
      <w:pPr>
        <w:pStyle w:val="Normal12Italic"/>
      </w:pPr>
      <w:r w:rsidRPr="005B3ABD">
        <w:t>Trade organisations can play a role in terms of a better allocation of value in the supply chain. However, the CMO does not allow for the adoption of value-sharing clauses between farmers and first buyers. The buyer’s uncertainty of whether their commitments can be passed on to their buyers is an obstacle to the development of products within the chain (especially if it is long), and to price readjustments for producers.</w:t>
      </w:r>
    </w:p>
    <w:p w14:paraId="6D771F6C" w14:textId="77777777" w:rsidR="003B40DD" w:rsidRPr="005B3ABD" w:rsidRDefault="003B40DD" w:rsidP="003B40DD">
      <w:r w:rsidRPr="005B3ABD">
        <w:rPr>
          <w:rStyle w:val="HideTWBExt"/>
          <w:noProof w:val="0"/>
          <w:color w:val="auto"/>
        </w:rPr>
        <w:t>&lt;/Amend&gt;</w:t>
      </w:r>
    </w:p>
    <w:p w14:paraId="710134A0"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53</w:t>
      </w:r>
      <w:r w:rsidRPr="005B3ABD">
        <w:rPr>
          <w:rStyle w:val="HideTWBExt"/>
          <w:b w:val="0"/>
          <w:noProof w:val="0"/>
          <w:color w:val="auto"/>
        </w:rPr>
        <w:t>&lt;/NumAm&gt;</w:t>
      </w:r>
    </w:p>
    <w:p w14:paraId="564CC91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ACC92C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k (new)</w:t>
      </w:r>
      <w:r w:rsidRPr="005B3ABD">
        <w:rPr>
          <w:rStyle w:val="HideTWBExt"/>
          <w:b w:val="0"/>
          <w:noProof w:val="0"/>
          <w:color w:val="auto"/>
        </w:rPr>
        <w:t>&lt;/Article&gt;</w:t>
      </w:r>
    </w:p>
    <w:p w14:paraId="752811C4"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D3E89DC" w14:textId="77777777" w:rsidR="003B40DD" w:rsidRPr="005B3ABD" w:rsidRDefault="003B40DD" w:rsidP="003B40DD">
      <w:r w:rsidRPr="005B3ABD">
        <w:rPr>
          <w:rStyle w:val="HideTWBExt"/>
          <w:noProof w:val="0"/>
          <w:color w:val="auto"/>
        </w:rPr>
        <w:t>&lt;Article2&gt;</w:t>
      </w:r>
      <w:r w:rsidRPr="005B3ABD">
        <w:t>Article 164 – paragraph 4 – point c</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DDA621F" w14:textId="77777777" w:rsidTr="00882D36">
        <w:trPr>
          <w:jc w:val="center"/>
        </w:trPr>
        <w:tc>
          <w:tcPr>
            <w:tcW w:w="9752" w:type="dxa"/>
            <w:gridSpan w:val="2"/>
          </w:tcPr>
          <w:p w14:paraId="033B87EE" w14:textId="77777777" w:rsidR="003B40DD" w:rsidRPr="005B3ABD" w:rsidRDefault="003B40DD" w:rsidP="00882D36">
            <w:pPr>
              <w:keepNext/>
            </w:pPr>
          </w:p>
        </w:tc>
      </w:tr>
      <w:tr w:rsidR="003B40DD" w:rsidRPr="005B3ABD" w14:paraId="228EBE23" w14:textId="77777777" w:rsidTr="00882D36">
        <w:trPr>
          <w:jc w:val="center"/>
        </w:trPr>
        <w:tc>
          <w:tcPr>
            <w:tcW w:w="4876" w:type="dxa"/>
          </w:tcPr>
          <w:p w14:paraId="5DF2FCA1" w14:textId="77777777" w:rsidR="003B40DD" w:rsidRPr="005B3ABD" w:rsidRDefault="003B40DD" w:rsidP="00882D36">
            <w:pPr>
              <w:pStyle w:val="ColumnHeading"/>
              <w:keepNext/>
              <w:rPr>
                <w:color w:val="0000FA"/>
              </w:rPr>
            </w:pPr>
            <w:r w:rsidRPr="005B3ABD">
              <w:t>This text</w:t>
            </w:r>
          </w:p>
        </w:tc>
        <w:tc>
          <w:tcPr>
            <w:tcW w:w="4876" w:type="dxa"/>
          </w:tcPr>
          <w:p w14:paraId="4DD29443" w14:textId="77777777" w:rsidR="003B40DD" w:rsidRPr="005B3ABD" w:rsidRDefault="003B40DD" w:rsidP="00882D36">
            <w:pPr>
              <w:pStyle w:val="ColumnHeading"/>
              <w:keepNext/>
              <w:rPr>
                <w:color w:val="0000F5"/>
              </w:rPr>
            </w:pPr>
            <w:r w:rsidRPr="005B3ABD">
              <w:t>Amendment</w:t>
            </w:r>
          </w:p>
        </w:tc>
      </w:tr>
      <w:tr w:rsidR="003B40DD" w:rsidRPr="005B3ABD" w14:paraId="029C3FEA" w14:textId="77777777" w:rsidTr="00882D36">
        <w:trPr>
          <w:jc w:val="center"/>
        </w:trPr>
        <w:tc>
          <w:tcPr>
            <w:tcW w:w="4876" w:type="dxa"/>
          </w:tcPr>
          <w:p w14:paraId="5920F87D" w14:textId="77777777" w:rsidR="003B40DD" w:rsidRPr="005B3ABD" w:rsidRDefault="003B40DD" w:rsidP="00882D36">
            <w:pPr>
              <w:pStyle w:val="Normal6"/>
              <w:rPr>
                <w:color w:val="0000FA"/>
              </w:rPr>
            </w:pPr>
          </w:p>
        </w:tc>
        <w:tc>
          <w:tcPr>
            <w:tcW w:w="4876" w:type="dxa"/>
          </w:tcPr>
          <w:p w14:paraId="60E9C0F4" w14:textId="77777777" w:rsidR="003B40DD" w:rsidRPr="005B3ABD" w:rsidRDefault="003B40DD" w:rsidP="00882D36">
            <w:pPr>
              <w:pStyle w:val="Normal6"/>
              <w:rPr>
                <w:color w:val="000005"/>
                <w:szCs w:val="24"/>
              </w:rPr>
            </w:pPr>
            <w:r w:rsidRPr="005B3ABD">
              <w:rPr>
                <w:b/>
                <w:i/>
              </w:rPr>
              <w:t>(22 k)</w:t>
            </w:r>
            <w:r w:rsidRPr="005B3ABD">
              <w:rPr>
                <w:b/>
                <w:i/>
              </w:rPr>
              <w:tab/>
              <w:t>In Article 164(1), point (c) is replaced by the following:</w:t>
            </w:r>
          </w:p>
        </w:tc>
      </w:tr>
      <w:tr w:rsidR="003B40DD" w:rsidRPr="005B3ABD" w14:paraId="5B0CD8FF" w14:textId="77777777" w:rsidTr="00882D36">
        <w:trPr>
          <w:jc w:val="center"/>
        </w:trPr>
        <w:tc>
          <w:tcPr>
            <w:tcW w:w="4876" w:type="dxa"/>
          </w:tcPr>
          <w:p w14:paraId="3F4C9D5E" w14:textId="77777777" w:rsidR="003B40DD" w:rsidRPr="005B3ABD" w:rsidRDefault="003B40DD" w:rsidP="00882D36">
            <w:pPr>
              <w:pStyle w:val="Normal6"/>
              <w:rPr>
                <w:color w:val="0000FA"/>
              </w:rPr>
            </w:pPr>
            <w:r w:rsidRPr="005B3ABD">
              <w:t>(c) drawing up of standard contracts which are compatible with Union rules;</w:t>
            </w:r>
          </w:p>
        </w:tc>
        <w:tc>
          <w:tcPr>
            <w:tcW w:w="4876" w:type="dxa"/>
          </w:tcPr>
          <w:p w14:paraId="793E032D" w14:textId="77777777" w:rsidR="003B40DD" w:rsidRPr="005B3ABD" w:rsidRDefault="003B40DD" w:rsidP="00882D36">
            <w:pPr>
              <w:pStyle w:val="Normal6"/>
              <w:rPr>
                <w:szCs w:val="24"/>
              </w:rPr>
            </w:pPr>
            <w:r w:rsidRPr="005B3ABD">
              <w:t xml:space="preserve">“(c) drawing up of standard contracts </w:t>
            </w:r>
            <w:r w:rsidRPr="005B3ABD">
              <w:rPr>
                <w:b/>
                <w:bCs/>
                <w:i/>
                <w:iCs/>
              </w:rPr>
              <w:t>and clauses, in particular for value-sharing,</w:t>
            </w:r>
            <w:r w:rsidRPr="005B3ABD">
              <w:rPr>
                <w:i/>
                <w:iCs/>
              </w:rPr>
              <w:t xml:space="preserve"> </w:t>
            </w:r>
            <w:r w:rsidRPr="005B3ABD">
              <w:t xml:space="preserve">which are compatible with Union rules;” </w:t>
            </w:r>
          </w:p>
        </w:tc>
      </w:tr>
    </w:tbl>
    <w:p w14:paraId="16ED8E0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26E386C" w14:textId="77777777" w:rsidR="003B40DD" w:rsidRPr="005B3ABD" w:rsidRDefault="003B40DD" w:rsidP="003B40DD">
      <w:pPr>
        <w:pStyle w:val="CrossRef"/>
      </w:pPr>
      <w:r w:rsidRPr="005B3ABD">
        <w:t>(https://eur-lex.europa.eu/legal-content/EN/TXT/?uri=CELEX:02013R1308-20180101)</w:t>
      </w:r>
    </w:p>
    <w:p w14:paraId="4977629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40D64FE" w14:textId="77777777" w:rsidR="003B40DD" w:rsidRPr="005B3ABD" w:rsidRDefault="003B40DD" w:rsidP="003B40DD">
      <w:pPr>
        <w:pStyle w:val="Normal12Italic"/>
      </w:pPr>
      <w:r w:rsidRPr="005B3ABD">
        <w:t>The purpose of this amendment is to allow interbranch organisations to ask for the extension of standard value-sharing clauses to ensure more transparency in contractual relations within sectors, strengthen farmers’ position by enabling them to benefit more regularly from a better allocation of added value, and thereby increasing their revenues.</w:t>
      </w:r>
    </w:p>
    <w:p w14:paraId="10E8119C" w14:textId="77777777" w:rsidR="003B40DD" w:rsidRPr="005B3ABD" w:rsidRDefault="003B40DD" w:rsidP="003B40DD">
      <w:r w:rsidRPr="005B3ABD">
        <w:rPr>
          <w:rStyle w:val="HideTWBExt"/>
          <w:noProof w:val="0"/>
          <w:color w:val="auto"/>
        </w:rPr>
        <w:t>&lt;/Amend&gt;</w:t>
      </w:r>
    </w:p>
    <w:p w14:paraId="1C6565FB"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54</w:t>
      </w:r>
      <w:r w:rsidRPr="005B3ABD">
        <w:rPr>
          <w:rStyle w:val="HideTWBExt"/>
          <w:b w:val="0"/>
          <w:noProof w:val="0"/>
          <w:color w:val="auto"/>
        </w:rPr>
        <w:t>&lt;/NumAm&gt;</w:t>
      </w:r>
    </w:p>
    <w:p w14:paraId="7906153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968C04F"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l (new)</w:t>
      </w:r>
      <w:r w:rsidRPr="005B3ABD">
        <w:rPr>
          <w:rStyle w:val="HideTWBExt"/>
          <w:b w:val="0"/>
          <w:noProof w:val="0"/>
          <w:color w:val="auto"/>
        </w:rPr>
        <w:t>&lt;/Article&gt;</w:t>
      </w:r>
    </w:p>
    <w:p w14:paraId="42A6951A"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BB2F0C6" w14:textId="77777777" w:rsidR="003B40DD" w:rsidRPr="005B3ABD" w:rsidRDefault="003B40DD" w:rsidP="003B40DD">
      <w:r w:rsidRPr="005B3ABD">
        <w:rPr>
          <w:rStyle w:val="HideTWBExt"/>
          <w:noProof w:val="0"/>
          <w:color w:val="auto"/>
        </w:rPr>
        <w:t>&lt;Article2&gt;</w:t>
      </w:r>
      <w:r w:rsidRPr="005B3ABD">
        <w:t>Article 164 – paragraph 4 – point n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CD68B23" w14:textId="77777777" w:rsidTr="00882D36">
        <w:trPr>
          <w:jc w:val="center"/>
        </w:trPr>
        <w:tc>
          <w:tcPr>
            <w:tcW w:w="9752" w:type="dxa"/>
            <w:gridSpan w:val="2"/>
          </w:tcPr>
          <w:p w14:paraId="6ACB85BD" w14:textId="77777777" w:rsidR="003B40DD" w:rsidRPr="005B3ABD" w:rsidRDefault="003B40DD" w:rsidP="00882D36">
            <w:pPr>
              <w:keepNext/>
            </w:pPr>
          </w:p>
        </w:tc>
      </w:tr>
      <w:tr w:rsidR="003B40DD" w:rsidRPr="005B3ABD" w14:paraId="2F711DE5" w14:textId="77777777" w:rsidTr="00882D36">
        <w:trPr>
          <w:jc w:val="center"/>
        </w:trPr>
        <w:tc>
          <w:tcPr>
            <w:tcW w:w="4876" w:type="dxa"/>
          </w:tcPr>
          <w:p w14:paraId="6DA491B5" w14:textId="77777777" w:rsidR="003B40DD" w:rsidRPr="005B3ABD" w:rsidRDefault="003B40DD" w:rsidP="00882D36">
            <w:pPr>
              <w:pStyle w:val="ColumnHeading"/>
              <w:keepNext/>
              <w:rPr>
                <w:color w:val="0000FA"/>
              </w:rPr>
            </w:pPr>
            <w:r w:rsidRPr="005B3ABD">
              <w:t>Text proposed by the Commission</w:t>
            </w:r>
          </w:p>
        </w:tc>
        <w:tc>
          <w:tcPr>
            <w:tcW w:w="4876" w:type="dxa"/>
          </w:tcPr>
          <w:p w14:paraId="5D76BE58" w14:textId="77777777" w:rsidR="003B40DD" w:rsidRPr="005B3ABD" w:rsidRDefault="003B40DD" w:rsidP="00882D36">
            <w:pPr>
              <w:pStyle w:val="ColumnHeading"/>
              <w:keepNext/>
              <w:rPr>
                <w:color w:val="0000F5"/>
              </w:rPr>
            </w:pPr>
            <w:r w:rsidRPr="005B3ABD">
              <w:t>Amendment</w:t>
            </w:r>
          </w:p>
        </w:tc>
      </w:tr>
      <w:tr w:rsidR="003B40DD" w:rsidRPr="005B3ABD" w14:paraId="3F6428C3" w14:textId="77777777" w:rsidTr="00882D36">
        <w:trPr>
          <w:jc w:val="center"/>
        </w:trPr>
        <w:tc>
          <w:tcPr>
            <w:tcW w:w="4876" w:type="dxa"/>
          </w:tcPr>
          <w:p w14:paraId="2194B18F" w14:textId="77777777" w:rsidR="003B40DD" w:rsidRPr="005B3ABD" w:rsidRDefault="003B40DD" w:rsidP="00882D36">
            <w:pPr>
              <w:pStyle w:val="Normal6"/>
              <w:rPr>
                <w:color w:val="0000FA"/>
              </w:rPr>
            </w:pPr>
          </w:p>
        </w:tc>
        <w:tc>
          <w:tcPr>
            <w:tcW w:w="4876" w:type="dxa"/>
          </w:tcPr>
          <w:p w14:paraId="606C8CD8" w14:textId="77777777" w:rsidR="003B40DD" w:rsidRPr="005B3ABD" w:rsidRDefault="003B40DD" w:rsidP="00882D36">
            <w:pPr>
              <w:pStyle w:val="Normal6"/>
              <w:rPr>
                <w:color w:val="000005"/>
                <w:szCs w:val="24"/>
              </w:rPr>
            </w:pPr>
            <w:r w:rsidRPr="005B3ABD">
              <w:rPr>
                <w:b/>
                <w:i/>
              </w:rPr>
              <w:t>(22 l)</w:t>
            </w:r>
            <w:r w:rsidRPr="005B3ABD">
              <w:rPr>
                <w:b/>
                <w:i/>
              </w:rPr>
              <w:tab/>
              <w:t>In Article 164, paragraph 4, the following point is inserted:</w:t>
            </w:r>
          </w:p>
        </w:tc>
      </w:tr>
      <w:tr w:rsidR="003B40DD" w:rsidRPr="005B3ABD" w14:paraId="387DE080" w14:textId="77777777" w:rsidTr="00882D36">
        <w:trPr>
          <w:jc w:val="center"/>
        </w:trPr>
        <w:tc>
          <w:tcPr>
            <w:tcW w:w="4876" w:type="dxa"/>
          </w:tcPr>
          <w:p w14:paraId="007CA912" w14:textId="77777777" w:rsidR="003B40DD" w:rsidRPr="005B3ABD" w:rsidRDefault="003B40DD" w:rsidP="00882D36">
            <w:pPr>
              <w:pStyle w:val="Normal6"/>
              <w:rPr>
                <w:color w:val="0000FA"/>
              </w:rPr>
            </w:pPr>
          </w:p>
        </w:tc>
        <w:tc>
          <w:tcPr>
            <w:tcW w:w="4876" w:type="dxa"/>
          </w:tcPr>
          <w:p w14:paraId="496EBE0D" w14:textId="77777777" w:rsidR="003B40DD" w:rsidRPr="005B3ABD" w:rsidRDefault="003B40DD" w:rsidP="00882D36">
            <w:pPr>
              <w:pStyle w:val="Normal6"/>
              <w:rPr>
                <w:szCs w:val="24"/>
              </w:rPr>
            </w:pPr>
            <w:r w:rsidRPr="005B3ABD">
              <w:rPr>
                <w:b/>
                <w:i/>
              </w:rPr>
              <w:t>(n a) design, implementation and control of technical standards for the precise evaluation of a product’s characteristics;</w:t>
            </w:r>
          </w:p>
        </w:tc>
      </w:tr>
    </w:tbl>
    <w:p w14:paraId="501A6365"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F63EBD1"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75A6766" w14:textId="77777777" w:rsidR="003B40DD" w:rsidRPr="005B3ABD" w:rsidRDefault="003B40DD" w:rsidP="003B40DD">
      <w:pPr>
        <w:pStyle w:val="Normal12Italic"/>
      </w:pPr>
      <w:r w:rsidRPr="005B3ABD">
        <w:t>Interbranch organisations may also adopt technical rules (fat content, marbling in meat, etc.) with the aim throughout the chain to harmonise the evaluation of product characteristics to prevent distortion of competition between operators. It is therefore non only necessary to be able to secure the implementation and control of these technical standards, but also to extend them to non-members.</w:t>
      </w:r>
    </w:p>
    <w:p w14:paraId="423D8FEB" w14:textId="77777777" w:rsidR="003B40DD" w:rsidRPr="005B3ABD" w:rsidRDefault="003B40DD" w:rsidP="003B40DD">
      <w:r w:rsidRPr="005B3ABD">
        <w:rPr>
          <w:rStyle w:val="HideTWBExt"/>
          <w:noProof w:val="0"/>
          <w:color w:val="auto"/>
        </w:rPr>
        <w:t>&lt;/Amend&gt;</w:t>
      </w:r>
    </w:p>
    <w:p w14:paraId="5F275353"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55</w:t>
      </w:r>
      <w:r w:rsidRPr="005B3ABD">
        <w:rPr>
          <w:rStyle w:val="HideTWBExt"/>
          <w:b w:val="0"/>
          <w:noProof w:val="0"/>
          <w:color w:val="auto"/>
        </w:rPr>
        <w:t>&lt;/NumAm&gt;</w:t>
      </w:r>
    </w:p>
    <w:p w14:paraId="02B4719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F7690E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m (new)</w:t>
      </w:r>
      <w:r w:rsidRPr="005B3ABD">
        <w:rPr>
          <w:rStyle w:val="HideTWBExt"/>
          <w:b w:val="0"/>
          <w:noProof w:val="0"/>
          <w:color w:val="auto"/>
        </w:rPr>
        <w:t>&lt;/Article&gt;</w:t>
      </w:r>
    </w:p>
    <w:p w14:paraId="62A2196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FB6792F" w14:textId="77777777" w:rsidR="003B40DD" w:rsidRPr="005B3ABD" w:rsidRDefault="003B40DD" w:rsidP="003B40DD">
      <w:r w:rsidRPr="005B3ABD">
        <w:rPr>
          <w:rStyle w:val="HideTWBExt"/>
          <w:noProof w:val="0"/>
          <w:color w:val="auto"/>
        </w:rPr>
        <w:t>&lt;Article2&gt;</w:t>
      </w:r>
      <w:r w:rsidRPr="005B3ABD">
        <w:t>Recital 166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DAA2BFD" w14:textId="77777777" w:rsidTr="00882D36">
        <w:trPr>
          <w:jc w:val="center"/>
        </w:trPr>
        <w:tc>
          <w:tcPr>
            <w:tcW w:w="9752" w:type="dxa"/>
            <w:gridSpan w:val="2"/>
          </w:tcPr>
          <w:p w14:paraId="1653F351" w14:textId="77777777" w:rsidR="003B40DD" w:rsidRPr="005B3ABD" w:rsidRDefault="003B40DD" w:rsidP="00882D36">
            <w:pPr>
              <w:keepNext/>
            </w:pPr>
          </w:p>
        </w:tc>
      </w:tr>
      <w:tr w:rsidR="003B40DD" w:rsidRPr="005B3ABD" w14:paraId="074C2F50" w14:textId="77777777" w:rsidTr="00882D36">
        <w:trPr>
          <w:jc w:val="center"/>
        </w:trPr>
        <w:tc>
          <w:tcPr>
            <w:tcW w:w="4876" w:type="dxa"/>
          </w:tcPr>
          <w:p w14:paraId="74666046" w14:textId="77777777" w:rsidR="003B40DD" w:rsidRPr="005B3ABD" w:rsidRDefault="003B40DD" w:rsidP="00882D36">
            <w:pPr>
              <w:pStyle w:val="ColumnHeading"/>
              <w:keepNext/>
              <w:rPr>
                <w:color w:val="0000FA"/>
              </w:rPr>
            </w:pPr>
            <w:r w:rsidRPr="005B3ABD">
              <w:t>Text proposed by the Commission</w:t>
            </w:r>
          </w:p>
        </w:tc>
        <w:tc>
          <w:tcPr>
            <w:tcW w:w="4876" w:type="dxa"/>
          </w:tcPr>
          <w:p w14:paraId="168855B1" w14:textId="77777777" w:rsidR="003B40DD" w:rsidRPr="005B3ABD" w:rsidRDefault="003B40DD" w:rsidP="00882D36">
            <w:pPr>
              <w:pStyle w:val="ColumnHeading"/>
              <w:keepNext/>
              <w:rPr>
                <w:color w:val="0000F5"/>
              </w:rPr>
            </w:pPr>
            <w:r w:rsidRPr="005B3ABD">
              <w:t>Amendment</w:t>
            </w:r>
          </w:p>
        </w:tc>
      </w:tr>
      <w:tr w:rsidR="003B40DD" w:rsidRPr="005B3ABD" w14:paraId="5D48110B" w14:textId="77777777" w:rsidTr="00882D36">
        <w:trPr>
          <w:jc w:val="center"/>
        </w:trPr>
        <w:tc>
          <w:tcPr>
            <w:tcW w:w="4876" w:type="dxa"/>
          </w:tcPr>
          <w:p w14:paraId="10BFB288" w14:textId="77777777" w:rsidR="003B40DD" w:rsidRPr="005B3ABD" w:rsidRDefault="003B40DD" w:rsidP="00882D36">
            <w:pPr>
              <w:pStyle w:val="Normal6"/>
              <w:rPr>
                <w:color w:val="0000FA"/>
              </w:rPr>
            </w:pPr>
          </w:p>
        </w:tc>
        <w:tc>
          <w:tcPr>
            <w:tcW w:w="4876" w:type="dxa"/>
          </w:tcPr>
          <w:p w14:paraId="2530D42A" w14:textId="77777777" w:rsidR="003B40DD" w:rsidRPr="005B3ABD" w:rsidRDefault="003B40DD" w:rsidP="00882D36">
            <w:pPr>
              <w:pStyle w:val="Normal6"/>
              <w:rPr>
                <w:color w:val="000005"/>
                <w:szCs w:val="24"/>
              </w:rPr>
            </w:pPr>
            <w:r w:rsidRPr="005B3ABD">
              <w:rPr>
                <w:b/>
                <w:i/>
              </w:rPr>
              <w:t>(22 m)</w:t>
            </w:r>
            <w:r w:rsidRPr="005B3ABD">
              <w:rPr>
                <w:b/>
                <w:i/>
              </w:rPr>
              <w:tab/>
              <w:t>The following Article shall be inserted:</w:t>
            </w:r>
          </w:p>
        </w:tc>
      </w:tr>
      <w:tr w:rsidR="003B40DD" w:rsidRPr="005B3ABD" w14:paraId="719BFFFF" w14:textId="77777777" w:rsidTr="00882D36">
        <w:trPr>
          <w:jc w:val="center"/>
        </w:trPr>
        <w:tc>
          <w:tcPr>
            <w:tcW w:w="4876" w:type="dxa"/>
          </w:tcPr>
          <w:p w14:paraId="30C2BF45" w14:textId="77777777" w:rsidR="003B40DD" w:rsidRPr="005B3ABD" w:rsidRDefault="003B40DD" w:rsidP="00882D36">
            <w:pPr>
              <w:pStyle w:val="Normal6"/>
              <w:rPr>
                <w:color w:val="0000FA"/>
              </w:rPr>
            </w:pPr>
          </w:p>
        </w:tc>
        <w:tc>
          <w:tcPr>
            <w:tcW w:w="4876" w:type="dxa"/>
          </w:tcPr>
          <w:p w14:paraId="3A307F9A" w14:textId="77777777" w:rsidR="003B40DD" w:rsidRPr="005B3ABD" w:rsidRDefault="003B40DD" w:rsidP="00882D36">
            <w:pPr>
              <w:pStyle w:val="Normal6"/>
              <w:rPr>
                <w:color w:val="000005"/>
                <w:szCs w:val="24"/>
              </w:rPr>
            </w:pPr>
            <w:r w:rsidRPr="005B3ABD">
              <w:rPr>
                <w:b/>
                <w:i/>
              </w:rPr>
              <w:t>Article 166 a</w:t>
            </w:r>
          </w:p>
        </w:tc>
      </w:tr>
      <w:tr w:rsidR="003B40DD" w:rsidRPr="005B3ABD" w14:paraId="5A4129D9" w14:textId="77777777" w:rsidTr="00882D36">
        <w:trPr>
          <w:jc w:val="center"/>
        </w:trPr>
        <w:tc>
          <w:tcPr>
            <w:tcW w:w="4876" w:type="dxa"/>
          </w:tcPr>
          <w:p w14:paraId="08B8DDAA" w14:textId="77777777" w:rsidR="003B40DD" w:rsidRPr="005B3ABD" w:rsidRDefault="003B40DD" w:rsidP="00882D36">
            <w:pPr>
              <w:pStyle w:val="Normal6"/>
              <w:rPr>
                <w:color w:val="0000FA"/>
              </w:rPr>
            </w:pPr>
          </w:p>
        </w:tc>
        <w:tc>
          <w:tcPr>
            <w:tcW w:w="4876" w:type="dxa"/>
          </w:tcPr>
          <w:p w14:paraId="371C7855" w14:textId="77777777" w:rsidR="003B40DD" w:rsidRPr="005B3ABD" w:rsidRDefault="003B40DD" w:rsidP="00882D36">
            <w:pPr>
              <w:pStyle w:val="Normal6"/>
              <w:rPr>
                <w:color w:val="000005"/>
                <w:szCs w:val="24"/>
              </w:rPr>
            </w:pPr>
            <w:r w:rsidRPr="005B3ABD">
              <w:rPr>
                <w:b/>
                <w:i/>
              </w:rPr>
              <w:t>Regulating the offer for products other than cheese, wine and ham which benefit from a protected designation of origin or protected geographical indication covered by a quality label.</w:t>
            </w:r>
          </w:p>
        </w:tc>
      </w:tr>
      <w:tr w:rsidR="003B40DD" w:rsidRPr="005B3ABD" w14:paraId="513A8803" w14:textId="77777777" w:rsidTr="00882D36">
        <w:trPr>
          <w:jc w:val="center"/>
        </w:trPr>
        <w:tc>
          <w:tcPr>
            <w:tcW w:w="4876" w:type="dxa"/>
          </w:tcPr>
          <w:p w14:paraId="10EF42ED" w14:textId="77777777" w:rsidR="003B40DD" w:rsidRPr="005B3ABD" w:rsidRDefault="003B40DD" w:rsidP="00882D36">
            <w:pPr>
              <w:pStyle w:val="Normal6"/>
              <w:rPr>
                <w:color w:val="0000FA"/>
              </w:rPr>
            </w:pPr>
          </w:p>
        </w:tc>
        <w:tc>
          <w:tcPr>
            <w:tcW w:w="4876" w:type="dxa"/>
          </w:tcPr>
          <w:p w14:paraId="45E73073" w14:textId="77777777" w:rsidR="003B40DD" w:rsidRPr="005B3ABD" w:rsidRDefault="003B40DD" w:rsidP="00882D36">
            <w:pPr>
              <w:pStyle w:val="Normal6"/>
              <w:rPr>
                <w:color w:val="000005"/>
                <w:szCs w:val="24"/>
              </w:rPr>
            </w:pPr>
            <w:r w:rsidRPr="005B3ABD">
              <w:rPr>
                <w:b/>
                <w:i/>
              </w:rPr>
              <w:t>1. Upon the request of a producer organisation recognised under Article 152(3), an interbranch organisation recognised under Article 157(3) or a group of operators referred to in Article 3(2) of Regulation (EU) No 1151/2012, Member States may lay down, for a limited period of time, binding rules for the regulation of the supply of cheese benefiting from a protected designation of origin or from a protected geographical indication under Article 5(1) and (2) of Regulation (EU) No 1151/2012.</w:t>
            </w:r>
          </w:p>
        </w:tc>
      </w:tr>
      <w:tr w:rsidR="003B40DD" w:rsidRPr="005B3ABD" w14:paraId="17794E2D" w14:textId="77777777" w:rsidTr="00882D36">
        <w:trPr>
          <w:jc w:val="center"/>
        </w:trPr>
        <w:tc>
          <w:tcPr>
            <w:tcW w:w="4876" w:type="dxa"/>
          </w:tcPr>
          <w:p w14:paraId="4D80CBEE" w14:textId="77777777" w:rsidR="003B40DD" w:rsidRPr="005B3ABD" w:rsidRDefault="003B40DD" w:rsidP="00882D36">
            <w:pPr>
              <w:pStyle w:val="Normal6"/>
              <w:rPr>
                <w:color w:val="0000FA"/>
              </w:rPr>
            </w:pPr>
          </w:p>
        </w:tc>
        <w:tc>
          <w:tcPr>
            <w:tcW w:w="4876" w:type="dxa"/>
          </w:tcPr>
          <w:p w14:paraId="611C586E" w14:textId="77777777" w:rsidR="003B40DD" w:rsidRPr="005B3ABD" w:rsidRDefault="003B40DD" w:rsidP="00882D36">
            <w:pPr>
              <w:pStyle w:val="Normal6"/>
              <w:rPr>
                <w:color w:val="000005"/>
                <w:szCs w:val="24"/>
              </w:rPr>
            </w:pPr>
            <w:r w:rsidRPr="005B3ABD">
              <w:rPr>
                <w:b/>
                <w:i/>
              </w:rPr>
              <w:t xml:space="preserve">2. The rules referred to in paragraph 1 of this Article shall be subject to the existence of a prior agreement between the parties in the geographical area referred to in point (c) of Article 7(1) of Regulation (EU) No 1151/2012. This agreement shall be signed by at least two thirds of all producers or their representatives, representing at least two thirds of the production of the product concerned and, if necessary, at least two thirds of all producers and of the production of the product concerned in the geographical area referred to in point (c) of article 7(1) of Regulation (EU) No 1151/2012. The same proportions shall apply to the number of producers and the </w:t>
            </w:r>
            <w:r w:rsidRPr="005B3ABD">
              <w:rPr>
                <w:b/>
                <w:i/>
              </w:rPr>
              <w:lastRenderedPageBreak/>
              <w:t>production of products that fall under national quality schemes.</w:t>
            </w:r>
          </w:p>
        </w:tc>
      </w:tr>
      <w:tr w:rsidR="003B40DD" w:rsidRPr="005B3ABD" w14:paraId="5CC8799E" w14:textId="77777777" w:rsidTr="00882D36">
        <w:trPr>
          <w:jc w:val="center"/>
        </w:trPr>
        <w:tc>
          <w:tcPr>
            <w:tcW w:w="4876" w:type="dxa"/>
          </w:tcPr>
          <w:p w14:paraId="23B8E280" w14:textId="77777777" w:rsidR="003B40DD" w:rsidRPr="005B3ABD" w:rsidRDefault="003B40DD" w:rsidP="00882D36">
            <w:pPr>
              <w:pStyle w:val="Normal6"/>
              <w:rPr>
                <w:color w:val="0000FA"/>
              </w:rPr>
            </w:pPr>
          </w:p>
        </w:tc>
        <w:tc>
          <w:tcPr>
            <w:tcW w:w="4876" w:type="dxa"/>
          </w:tcPr>
          <w:p w14:paraId="06D60D4A" w14:textId="77777777" w:rsidR="003B40DD" w:rsidRPr="005B3ABD" w:rsidRDefault="003B40DD" w:rsidP="00882D36">
            <w:pPr>
              <w:pStyle w:val="Normal6"/>
              <w:rPr>
                <w:color w:val="000005"/>
                <w:szCs w:val="24"/>
              </w:rPr>
            </w:pPr>
            <w:r w:rsidRPr="005B3ABD">
              <w:rPr>
                <w:b/>
                <w:i/>
              </w:rPr>
              <w:t>3. The rules referred to in paragraph 1:</w:t>
            </w:r>
          </w:p>
        </w:tc>
      </w:tr>
      <w:tr w:rsidR="003B40DD" w:rsidRPr="005B3ABD" w14:paraId="34CAF20A" w14:textId="77777777" w:rsidTr="00882D36">
        <w:trPr>
          <w:jc w:val="center"/>
        </w:trPr>
        <w:tc>
          <w:tcPr>
            <w:tcW w:w="4876" w:type="dxa"/>
          </w:tcPr>
          <w:p w14:paraId="11EE82E9" w14:textId="77777777" w:rsidR="003B40DD" w:rsidRPr="005B3ABD" w:rsidRDefault="003B40DD" w:rsidP="00882D36">
            <w:pPr>
              <w:pStyle w:val="Normal6"/>
              <w:rPr>
                <w:color w:val="0000FA"/>
              </w:rPr>
            </w:pPr>
          </w:p>
        </w:tc>
        <w:tc>
          <w:tcPr>
            <w:tcW w:w="4876" w:type="dxa"/>
          </w:tcPr>
          <w:p w14:paraId="0620D653" w14:textId="77777777" w:rsidR="003B40DD" w:rsidRPr="005B3ABD" w:rsidRDefault="003B40DD" w:rsidP="00882D36">
            <w:pPr>
              <w:pStyle w:val="Normal6"/>
              <w:rPr>
                <w:color w:val="000005"/>
                <w:szCs w:val="24"/>
              </w:rPr>
            </w:pPr>
            <w:r w:rsidRPr="005B3ABD">
              <w:rPr>
                <w:b/>
                <w:i/>
              </w:rPr>
              <w:t>(a) shall only cover the regulation of supply of the product concerned and shall have the aim of adapting the supply of the product concerned to demand;</w:t>
            </w:r>
          </w:p>
        </w:tc>
      </w:tr>
      <w:tr w:rsidR="003B40DD" w:rsidRPr="005B3ABD" w14:paraId="34650827" w14:textId="77777777" w:rsidTr="00882D36">
        <w:trPr>
          <w:jc w:val="center"/>
        </w:trPr>
        <w:tc>
          <w:tcPr>
            <w:tcW w:w="4876" w:type="dxa"/>
          </w:tcPr>
          <w:p w14:paraId="68B432D6" w14:textId="77777777" w:rsidR="003B40DD" w:rsidRPr="005B3ABD" w:rsidRDefault="003B40DD" w:rsidP="00882D36">
            <w:pPr>
              <w:pStyle w:val="Normal6"/>
              <w:rPr>
                <w:color w:val="0000FA"/>
              </w:rPr>
            </w:pPr>
          </w:p>
        </w:tc>
        <w:tc>
          <w:tcPr>
            <w:tcW w:w="4876" w:type="dxa"/>
          </w:tcPr>
          <w:p w14:paraId="640F2756" w14:textId="77777777" w:rsidR="003B40DD" w:rsidRPr="005B3ABD" w:rsidRDefault="003B40DD" w:rsidP="00882D36">
            <w:pPr>
              <w:pStyle w:val="Normal6"/>
              <w:rPr>
                <w:color w:val="000005"/>
                <w:szCs w:val="24"/>
              </w:rPr>
            </w:pPr>
            <w:r w:rsidRPr="005B3ABD">
              <w:rPr>
                <w:b/>
                <w:i/>
              </w:rPr>
              <w:t>(b) shall have effect only on the product concerned;</w:t>
            </w:r>
          </w:p>
        </w:tc>
      </w:tr>
      <w:tr w:rsidR="003B40DD" w:rsidRPr="005B3ABD" w14:paraId="7A5B42CB" w14:textId="77777777" w:rsidTr="00882D36">
        <w:trPr>
          <w:jc w:val="center"/>
        </w:trPr>
        <w:tc>
          <w:tcPr>
            <w:tcW w:w="4876" w:type="dxa"/>
          </w:tcPr>
          <w:p w14:paraId="22F687F4" w14:textId="77777777" w:rsidR="003B40DD" w:rsidRPr="005B3ABD" w:rsidRDefault="003B40DD" w:rsidP="00882D36">
            <w:pPr>
              <w:pStyle w:val="Normal6"/>
              <w:rPr>
                <w:color w:val="0000FA"/>
              </w:rPr>
            </w:pPr>
          </w:p>
        </w:tc>
        <w:tc>
          <w:tcPr>
            <w:tcW w:w="4876" w:type="dxa"/>
          </w:tcPr>
          <w:p w14:paraId="66CA4F90" w14:textId="77777777" w:rsidR="003B40DD" w:rsidRPr="005B3ABD" w:rsidRDefault="003B40DD" w:rsidP="00882D36">
            <w:pPr>
              <w:pStyle w:val="Normal6"/>
              <w:rPr>
                <w:color w:val="000005"/>
                <w:szCs w:val="24"/>
              </w:rPr>
            </w:pPr>
            <w:r w:rsidRPr="005B3ABD">
              <w:rPr>
                <w:b/>
                <w:i/>
              </w:rPr>
              <w:t>(c) may be made binding for no more than three years and may be renewed after this period, following a new request, as referred to in paragraph 1;</w:t>
            </w:r>
          </w:p>
        </w:tc>
      </w:tr>
      <w:tr w:rsidR="003B40DD" w:rsidRPr="005B3ABD" w14:paraId="5BDBE446" w14:textId="77777777" w:rsidTr="00882D36">
        <w:trPr>
          <w:jc w:val="center"/>
        </w:trPr>
        <w:tc>
          <w:tcPr>
            <w:tcW w:w="4876" w:type="dxa"/>
          </w:tcPr>
          <w:p w14:paraId="1A1E4CC6" w14:textId="77777777" w:rsidR="003B40DD" w:rsidRPr="005B3ABD" w:rsidRDefault="003B40DD" w:rsidP="00882D36">
            <w:pPr>
              <w:pStyle w:val="Normal6"/>
              <w:rPr>
                <w:color w:val="0000FA"/>
              </w:rPr>
            </w:pPr>
          </w:p>
        </w:tc>
        <w:tc>
          <w:tcPr>
            <w:tcW w:w="4876" w:type="dxa"/>
          </w:tcPr>
          <w:p w14:paraId="1774187B" w14:textId="77777777" w:rsidR="003B40DD" w:rsidRPr="005B3ABD" w:rsidRDefault="003B40DD" w:rsidP="00882D36">
            <w:pPr>
              <w:pStyle w:val="Normal6"/>
              <w:rPr>
                <w:color w:val="000005"/>
                <w:szCs w:val="24"/>
              </w:rPr>
            </w:pPr>
            <w:r w:rsidRPr="005B3ABD">
              <w:rPr>
                <w:b/>
                <w:i/>
              </w:rPr>
              <w:t>(d) shall not damage the trade in products other than those concerned by those rules;</w:t>
            </w:r>
          </w:p>
        </w:tc>
      </w:tr>
      <w:tr w:rsidR="003B40DD" w:rsidRPr="005B3ABD" w14:paraId="5CF1D1C6" w14:textId="77777777" w:rsidTr="00882D36">
        <w:trPr>
          <w:jc w:val="center"/>
        </w:trPr>
        <w:tc>
          <w:tcPr>
            <w:tcW w:w="4876" w:type="dxa"/>
          </w:tcPr>
          <w:p w14:paraId="1DD1371C" w14:textId="77777777" w:rsidR="003B40DD" w:rsidRPr="005B3ABD" w:rsidRDefault="003B40DD" w:rsidP="00882D36">
            <w:pPr>
              <w:pStyle w:val="Normal6"/>
              <w:rPr>
                <w:color w:val="0000FA"/>
              </w:rPr>
            </w:pPr>
          </w:p>
        </w:tc>
        <w:tc>
          <w:tcPr>
            <w:tcW w:w="4876" w:type="dxa"/>
          </w:tcPr>
          <w:p w14:paraId="7E3BF34D" w14:textId="77777777" w:rsidR="003B40DD" w:rsidRPr="005B3ABD" w:rsidRDefault="003B40DD" w:rsidP="00882D36">
            <w:pPr>
              <w:pStyle w:val="Normal6"/>
              <w:rPr>
                <w:color w:val="000005"/>
                <w:szCs w:val="24"/>
              </w:rPr>
            </w:pPr>
            <w:r w:rsidRPr="005B3ABD">
              <w:rPr>
                <w:b/>
                <w:i/>
              </w:rPr>
              <w:t>(e) shall not relate to any transaction after the first marketing of the product concerned;</w:t>
            </w:r>
          </w:p>
        </w:tc>
      </w:tr>
      <w:tr w:rsidR="003B40DD" w:rsidRPr="005B3ABD" w14:paraId="1F1164FF" w14:textId="77777777" w:rsidTr="00882D36">
        <w:trPr>
          <w:jc w:val="center"/>
        </w:trPr>
        <w:tc>
          <w:tcPr>
            <w:tcW w:w="4876" w:type="dxa"/>
          </w:tcPr>
          <w:p w14:paraId="44097C0F" w14:textId="77777777" w:rsidR="003B40DD" w:rsidRPr="005B3ABD" w:rsidRDefault="003B40DD" w:rsidP="00882D36">
            <w:pPr>
              <w:pStyle w:val="Normal6"/>
              <w:rPr>
                <w:color w:val="0000FA"/>
              </w:rPr>
            </w:pPr>
          </w:p>
        </w:tc>
        <w:tc>
          <w:tcPr>
            <w:tcW w:w="4876" w:type="dxa"/>
          </w:tcPr>
          <w:p w14:paraId="3AE93134" w14:textId="77777777" w:rsidR="003B40DD" w:rsidRPr="005B3ABD" w:rsidRDefault="003B40DD" w:rsidP="00882D36">
            <w:pPr>
              <w:pStyle w:val="Normal6"/>
              <w:rPr>
                <w:color w:val="000005"/>
                <w:szCs w:val="24"/>
              </w:rPr>
            </w:pPr>
            <w:r w:rsidRPr="005B3ABD">
              <w:rPr>
                <w:b/>
                <w:i/>
              </w:rPr>
              <w:t>(f) shall not allow for price fixing, including where prices are set for guidance or recommendation;</w:t>
            </w:r>
          </w:p>
        </w:tc>
      </w:tr>
      <w:tr w:rsidR="003B40DD" w:rsidRPr="005B3ABD" w14:paraId="62D249DB" w14:textId="77777777" w:rsidTr="00882D36">
        <w:trPr>
          <w:jc w:val="center"/>
        </w:trPr>
        <w:tc>
          <w:tcPr>
            <w:tcW w:w="4876" w:type="dxa"/>
          </w:tcPr>
          <w:p w14:paraId="795C3A96" w14:textId="77777777" w:rsidR="003B40DD" w:rsidRPr="005B3ABD" w:rsidRDefault="003B40DD" w:rsidP="00882D36">
            <w:pPr>
              <w:pStyle w:val="Normal6"/>
              <w:rPr>
                <w:color w:val="0000FA"/>
              </w:rPr>
            </w:pPr>
          </w:p>
        </w:tc>
        <w:tc>
          <w:tcPr>
            <w:tcW w:w="4876" w:type="dxa"/>
          </w:tcPr>
          <w:p w14:paraId="62409649" w14:textId="77777777" w:rsidR="003B40DD" w:rsidRPr="005B3ABD" w:rsidRDefault="003B40DD" w:rsidP="00882D36">
            <w:pPr>
              <w:pStyle w:val="Normal6"/>
              <w:rPr>
                <w:color w:val="000005"/>
                <w:szCs w:val="24"/>
              </w:rPr>
            </w:pPr>
            <w:r w:rsidRPr="005B3ABD">
              <w:rPr>
                <w:b/>
                <w:i/>
              </w:rPr>
              <w:t>(g) shall not render unavailable an excessive proportion of the product concerned that would otherwise be available;</w:t>
            </w:r>
          </w:p>
        </w:tc>
      </w:tr>
      <w:tr w:rsidR="003B40DD" w:rsidRPr="005B3ABD" w14:paraId="429AC974" w14:textId="77777777" w:rsidTr="00882D36">
        <w:trPr>
          <w:jc w:val="center"/>
        </w:trPr>
        <w:tc>
          <w:tcPr>
            <w:tcW w:w="4876" w:type="dxa"/>
          </w:tcPr>
          <w:p w14:paraId="38684082" w14:textId="77777777" w:rsidR="003B40DD" w:rsidRPr="005B3ABD" w:rsidRDefault="003B40DD" w:rsidP="00882D36">
            <w:pPr>
              <w:pStyle w:val="Normal6"/>
              <w:rPr>
                <w:color w:val="0000FA"/>
              </w:rPr>
            </w:pPr>
          </w:p>
        </w:tc>
        <w:tc>
          <w:tcPr>
            <w:tcW w:w="4876" w:type="dxa"/>
          </w:tcPr>
          <w:p w14:paraId="127F8EED" w14:textId="77777777" w:rsidR="003B40DD" w:rsidRPr="005B3ABD" w:rsidRDefault="003B40DD" w:rsidP="00882D36">
            <w:pPr>
              <w:pStyle w:val="Normal6"/>
              <w:rPr>
                <w:color w:val="000005"/>
                <w:szCs w:val="24"/>
              </w:rPr>
            </w:pPr>
            <w:r w:rsidRPr="005B3ABD">
              <w:rPr>
                <w:b/>
                <w:i/>
              </w:rPr>
              <w:t>(h) shall not create discrimination, constitute a barrier for new entrants in the market, or lead to small producers being adversely affected;</w:t>
            </w:r>
          </w:p>
        </w:tc>
      </w:tr>
      <w:tr w:rsidR="003B40DD" w:rsidRPr="005B3ABD" w14:paraId="3291DC52" w14:textId="77777777" w:rsidTr="00882D36">
        <w:trPr>
          <w:jc w:val="center"/>
        </w:trPr>
        <w:tc>
          <w:tcPr>
            <w:tcW w:w="4876" w:type="dxa"/>
          </w:tcPr>
          <w:p w14:paraId="472F3930" w14:textId="77777777" w:rsidR="003B40DD" w:rsidRPr="005B3ABD" w:rsidRDefault="003B40DD" w:rsidP="00882D36">
            <w:pPr>
              <w:pStyle w:val="Normal6"/>
              <w:rPr>
                <w:color w:val="0000FA"/>
              </w:rPr>
            </w:pPr>
          </w:p>
        </w:tc>
        <w:tc>
          <w:tcPr>
            <w:tcW w:w="4876" w:type="dxa"/>
          </w:tcPr>
          <w:p w14:paraId="79B1BC4D" w14:textId="77777777" w:rsidR="003B40DD" w:rsidRPr="005B3ABD" w:rsidRDefault="003B40DD" w:rsidP="00882D36">
            <w:pPr>
              <w:pStyle w:val="Normal6"/>
              <w:rPr>
                <w:color w:val="000005"/>
                <w:szCs w:val="24"/>
              </w:rPr>
            </w:pPr>
            <w:r w:rsidRPr="005B3ABD">
              <w:rPr>
                <w:b/>
                <w:i/>
              </w:rPr>
              <w:t>(i) shall contribute to preserving the quality (including in terms of health) and/or to the development of the product concerned;</w:t>
            </w:r>
          </w:p>
        </w:tc>
      </w:tr>
      <w:tr w:rsidR="003B40DD" w:rsidRPr="005B3ABD" w14:paraId="6228ACFF" w14:textId="77777777" w:rsidTr="00882D36">
        <w:trPr>
          <w:jc w:val="center"/>
        </w:trPr>
        <w:tc>
          <w:tcPr>
            <w:tcW w:w="4876" w:type="dxa"/>
          </w:tcPr>
          <w:p w14:paraId="20BE037E" w14:textId="77777777" w:rsidR="003B40DD" w:rsidRPr="005B3ABD" w:rsidRDefault="003B40DD" w:rsidP="00882D36">
            <w:pPr>
              <w:pStyle w:val="Normal6"/>
              <w:rPr>
                <w:color w:val="0000FA"/>
              </w:rPr>
            </w:pPr>
          </w:p>
        </w:tc>
        <w:tc>
          <w:tcPr>
            <w:tcW w:w="4876" w:type="dxa"/>
          </w:tcPr>
          <w:p w14:paraId="3498BA1D" w14:textId="77777777" w:rsidR="003B40DD" w:rsidRPr="005B3ABD" w:rsidRDefault="003B40DD" w:rsidP="00882D36">
            <w:pPr>
              <w:pStyle w:val="Normal6"/>
              <w:rPr>
                <w:color w:val="000005"/>
                <w:szCs w:val="24"/>
              </w:rPr>
            </w:pPr>
            <w:r w:rsidRPr="005B3ABD">
              <w:rPr>
                <w:b/>
                <w:i/>
              </w:rPr>
              <w:t>4. The rules referred to in paragraph 1 shall be published in an official publication of the Member State concerned.</w:t>
            </w:r>
          </w:p>
        </w:tc>
      </w:tr>
      <w:tr w:rsidR="003B40DD" w:rsidRPr="005B3ABD" w14:paraId="70825236" w14:textId="77777777" w:rsidTr="00882D36">
        <w:trPr>
          <w:jc w:val="center"/>
        </w:trPr>
        <w:tc>
          <w:tcPr>
            <w:tcW w:w="4876" w:type="dxa"/>
          </w:tcPr>
          <w:p w14:paraId="4D8190E5" w14:textId="77777777" w:rsidR="003B40DD" w:rsidRPr="005B3ABD" w:rsidRDefault="003B40DD" w:rsidP="00882D36">
            <w:pPr>
              <w:pStyle w:val="Normal6"/>
              <w:rPr>
                <w:color w:val="0000FA"/>
              </w:rPr>
            </w:pPr>
          </w:p>
        </w:tc>
        <w:tc>
          <w:tcPr>
            <w:tcW w:w="4876" w:type="dxa"/>
          </w:tcPr>
          <w:p w14:paraId="7EA08E5C" w14:textId="77777777" w:rsidR="003B40DD" w:rsidRPr="005B3ABD" w:rsidRDefault="003B40DD" w:rsidP="00882D36">
            <w:pPr>
              <w:pStyle w:val="Normal6"/>
              <w:rPr>
                <w:color w:val="000005"/>
                <w:szCs w:val="24"/>
              </w:rPr>
            </w:pPr>
            <w:r w:rsidRPr="005B3ABD">
              <w:rPr>
                <w:b/>
                <w:i/>
              </w:rPr>
              <w:t xml:space="preserve">5. Member States shall carry out checks in order to ensure that the conditions laid down in paragraph 4 are complied with, and, where it has been found by the competent national authorities that such conditions have not been complied with, </w:t>
            </w:r>
            <w:r w:rsidRPr="005B3ABD">
              <w:rPr>
                <w:b/>
                <w:i/>
              </w:rPr>
              <w:lastRenderedPageBreak/>
              <w:t>shall repeal the rules referred to in paragraph 1.</w:t>
            </w:r>
          </w:p>
        </w:tc>
      </w:tr>
      <w:tr w:rsidR="003B40DD" w:rsidRPr="005B3ABD" w14:paraId="65F4E54C" w14:textId="77777777" w:rsidTr="00882D36">
        <w:trPr>
          <w:jc w:val="center"/>
        </w:trPr>
        <w:tc>
          <w:tcPr>
            <w:tcW w:w="4876" w:type="dxa"/>
          </w:tcPr>
          <w:p w14:paraId="5298C5F2" w14:textId="77777777" w:rsidR="003B40DD" w:rsidRPr="005B3ABD" w:rsidRDefault="003B40DD" w:rsidP="00882D36">
            <w:pPr>
              <w:pStyle w:val="Normal6"/>
              <w:rPr>
                <w:color w:val="0000FA"/>
              </w:rPr>
            </w:pPr>
          </w:p>
        </w:tc>
        <w:tc>
          <w:tcPr>
            <w:tcW w:w="4876" w:type="dxa"/>
          </w:tcPr>
          <w:p w14:paraId="49EEB725" w14:textId="77777777" w:rsidR="003B40DD" w:rsidRPr="005B3ABD" w:rsidRDefault="003B40DD" w:rsidP="00882D36">
            <w:pPr>
              <w:pStyle w:val="Normal6"/>
              <w:rPr>
                <w:color w:val="000005"/>
                <w:szCs w:val="24"/>
              </w:rPr>
            </w:pPr>
            <w:r w:rsidRPr="005B3ABD">
              <w:rPr>
                <w:b/>
                <w:i/>
              </w:rPr>
              <w:t>6. Member States shall notify the Commission forthwith of the rules referred to in paragraph 1 which they have adopted. The Commission shall inform other Member States of any notification of such rules.</w:t>
            </w:r>
          </w:p>
        </w:tc>
      </w:tr>
      <w:tr w:rsidR="003B40DD" w:rsidRPr="005B3ABD" w14:paraId="3B7EDA98" w14:textId="77777777" w:rsidTr="00882D36">
        <w:trPr>
          <w:jc w:val="center"/>
        </w:trPr>
        <w:tc>
          <w:tcPr>
            <w:tcW w:w="4876" w:type="dxa"/>
          </w:tcPr>
          <w:p w14:paraId="7F0D9329" w14:textId="77777777" w:rsidR="003B40DD" w:rsidRPr="005B3ABD" w:rsidRDefault="003B40DD" w:rsidP="00882D36">
            <w:pPr>
              <w:pStyle w:val="Normal6"/>
              <w:rPr>
                <w:color w:val="0000FA"/>
              </w:rPr>
            </w:pPr>
          </w:p>
        </w:tc>
        <w:tc>
          <w:tcPr>
            <w:tcW w:w="4876" w:type="dxa"/>
          </w:tcPr>
          <w:p w14:paraId="46D38414" w14:textId="77777777" w:rsidR="003B40DD" w:rsidRPr="005B3ABD" w:rsidRDefault="003B40DD" w:rsidP="00882D36">
            <w:pPr>
              <w:pStyle w:val="Normal6"/>
              <w:rPr>
                <w:szCs w:val="24"/>
              </w:rPr>
            </w:pPr>
            <w:r w:rsidRPr="005B3ABD">
              <w:rPr>
                <w:b/>
                <w:i/>
              </w:rPr>
              <w:t>7. The Commission may at any time adopt implementing acts requiring that a Member State repeal the rules laid down by that Member State pursuant to paragraph 1 if the Commission finds that those rules do not comply with the conditions laid down in paragraph 3, prevent or distort competition in a substantial part of the internal market or jeopardise free trade or the attainment of the objectives of Article 39 TFEU. Those implementing acts shall be adopted without applying the procedure referred to in Article 229(2) or (3) of this Regulation.</w:t>
            </w:r>
          </w:p>
        </w:tc>
      </w:tr>
    </w:tbl>
    <w:p w14:paraId="0C94BF35"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177FA65"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2CDB9A0" w14:textId="77777777" w:rsidR="003B40DD" w:rsidRPr="005B3ABD" w:rsidRDefault="003B40DD" w:rsidP="003B40DD">
      <w:pPr>
        <w:pStyle w:val="Normal12Italic"/>
      </w:pPr>
      <w:r w:rsidRPr="005B3ABD">
        <w:t>This amendment makes it possible to extend to all products benefiting from a protected designation of origin or protected geographical indication, the possibility that cheeses, wine and ham currently enjoy, of having their supply managed by a recognised producers’ organisation or a recognised interbranch organisation.</w:t>
      </w:r>
    </w:p>
    <w:p w14:paraId="19570D2A" w14:textId="77777777" w:rsidR="003B40DD" w:rsidRPr="005B3ABD" w:rsidRDefault="003B40DD" w:rsidP="003B40DD">
      <w:r w:rsidRPr="005B3ABD">
        <w:rPr>
          <w:rStyle w:val="HideTWBExt"/>
          <w:noProof w:val="0"/>
          <w:color w:val="auto"/>
        </w:rPr>
        <w:t>&lt;/Amend&gt;</w:t>
      </w:r>
    </w:p>
    <w:p w14:paraId="6E66EE1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56</w:t>
      </w:r>
      <w:r w:rsidRPr="005B3ABD">
        <w:rPr>
          <w:rStyle w:val="HideTWBExt"/>
          <w:b w:val="0"/>
          <w:noProof w:val="0"/>
          <w:color w:val="auto"/>
        </w:rPr>
        <w:t>&lt;/NumAm&gt;</w:t>
      </w:r>
    </w:p>
    <w:p w14:paraId="7DC89994"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3B8D00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n (new)</w:t>
      </w:r>
      <w:r w:rsidRPr="005B3ABD">
        <w:rPr>
          <w:rStyle w:val="HideTWBExt"/>
          <w:b w:val="0"/>
          <w:noProof w:val="0"/>
          <w:color w:val="auto"/>
        </w:rPr>
        <w:t>&lt;/Article&gt;</w:t>
      </w:r>
    </w:p>
    <w:p w14:paraId="34109F57"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CBD926F" w14:textId="77777777" w:rsidR="003B40DD" w:rsidRPr="005B3ABD" w:rsidRDefault="003B40DD" w:rsidP="003B40DD">
      <w:r w:rsidRPr="005B3ABD">
        <w:rPr>
          <w:rStyle w:val="HideTWBExt"/>
          <w:noProof w:val="0"/>
          <w:color w:val="auto"/>
        </w:rPr>
        <w:t>&lt;Article2&gt;</w:t>
      </w:r>
      <w:r w:rsidRPr="005B3ABD">
        <w:t>Recital 172a</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03BF5A7" w14:textId="77777777" w:rsidTr="00882D36">
        <w:trPr>
          <w:jc w:val="center"/>
        </w:trPr>
        <w:tc>
          <w:tcPr>
            <w:tcW w:w="9752" w:type="dxa"/>
            <w:gridSpan w:val="2"/>
          </w:tcPr>
          <w:p w14:paraId="0FA7B79F" w14:textId="77777777" w:rsidR="003B40DD" w:rsidRPr="005B3ABD" w:rsidRDefault="003B40DD" w:rsidP="00882D36">
            <w:pPr>
              <w:keepNext/>
            </w:pPr>
          </w:p>
        </w:tc>
      </w:tr>
      <w:tr w:rsidR="003B40DD" w:rsidRPr="005B3ABD" w14:paraId="334B4CBA" w14:textId="77777777" w:rsidTr="00882D36">
        <w:trPr>
          <w:jc w:val="center"/>
        </w:trPr>
        <w:tc>
          <w:tcPr>
            <w:tcW w:w="4876" w:type="dxa"/>
          </w:tcPr>
          <w:p w14:paraId="074BC590" w14:textId="77777777" w:rsidR="003B40DD" w:rsidRPr="005B3ABD" w:rsidRDefault="003B40DD" w:rsidP="00882D36">
            <w:pPr>
              <w:pStyle w:val="ColumnHeading"/>
              <w:keepNext/>
              <w:rPr>
                <w:color w:val="0000FA"/>
              </w:rPr>
            </w:pPr>
            <w:r w:rsidRPr="005B3ABD">
              <w:t>This text</w:t>
            </w:r>
          </w:p>
        </w:tc>
        <w:tc>
          <w:tcPr>
            <w:tcW w:w="4876" w:type="dxa"/>
          </w:tcPr>
          <w:p w14:paraId="00E6DA24" w14:textId="77777777" w:rsidR="003B40DD" w:rsidRPr="005B3ABD" w:rsidRDefault="003B40DD" w:rsidP="00882D36">
            <w:pPr>
              <w:pStyle w:val="ColumnHeading"/>
              <w:keepNext/>
              <w:rPr>
                <w:color w:val="0000F5"/>
              </w:rPr>
            </w:pPr>
            <w:r w:rsidRPr="005B3ABD">
              <w:t>Amendment</w:t>
            </w:r>
          </w:p>
        </w:tc>
      </w:tr>
      <w:tr w:rsidR="003B40DD" w:rsidRPr="005B3ABD" w14:paraId="254CF271" w14:textId="77777777" w:rsidTr="00882D36">
        <w:trPr>
          <w:jc w:val="center"/>
        </w:trPr>
        <w:tc>
          <w:tcPr>
            <w:tcW w:w="4876" w:type="dxa"/>
          </w:tcPr>
          <w:p w14:paraId="6ACB5782" w14:textId="77777777" w:rsidR="003B40DD" w:rsidRPr="005B3ABD" w:rsidRDefault="003B40DD" w:rsidP="00882D36">
            <w:pPr>
              <w:pStyle w:val="Normal6"/>
              <w:rPr>
                <w:color w:val="0000FA"/>
              </w:rPr>
            </w:pPr>
          </w:p>
        </w:tc>
        <w:tc>
          <w:tcPr>
            <w:tcW w:w="4876" w:type="dxa"/>
          </w:tcPr>
          <w:p w14:paraId="15E8F6B3" w14:textId="77777777" w:rsidR="003B40DD" w:rsidRPr="005B3ABD" w:rsidRDefault="003B40DD" w:rsidP="00882D36">
            <w:pPr>
              <w:pStyle w:val="Normal6"/>
              <w:rPr>
                <w:color w:val="000005"/>
                <w:szCs w:val="24"/>
              </w:rPr>
            </w:pPr>
            <w:r w:rsidRPr="005B3ABD">
              <w:rPr>
                <w:b/>
                <w:i/>
              </w:rPr>
              <w:t>(20 n)</w:t>
            </w:r>
            <w:r w:rsidRPr="005B3ABD">
              <w:rPr>
                <w:b/>
                <w:i/>
              </w:rPr>
              <w:tab/>
              <w:t>Article 172a is replaced by the following:</w:t>
            </w:r>
          </w:p>
        </w:tc>
      </w:tr>
      <w:tr w:rsidR="003B40DD" w:rsidRPr="005B3ABD" w14:paraId="6AF7BFD5" w14:textId="77777777" w:rsidTr="00882D36">
        <w:trPr>
          <w:jc w:val="center"/>
        </w:trPr>
        <w:tc>
          <w:tcPr>
            <w:tcW w:w="4876" w:type="dxa"/>
          </w:tcPr>
          <w:p w14:paraId="13FDA27C" w14:textId="77777777" w:rsidR="003B40DD" w:rsidRPr="005B3ABD" w:rsidRDefault="003B40DD" w:rsidP="00882D36">
            <w:pPr>
              <w:pStyle w:val="Normal6"/>
              <w:jc w:val="center"/>
              <w:rPr>
                <w:color w:val="0000FA"/>
              </w:rPr>
            </w:pPr>
            <w:r w:rsidRPr="005B3ABD">
              <w:t>Article 172a</w:t>
            </w:r>
          </w:p>
        </w:tc>
        <w:tc>
          <w:tcPr>
            <w:tcW w:w="4876" w:type="dxa"/>
          </w:tcPr>
          <w:p w14:paraId="044F22D4" w14:textId="77777777" w:rsidR="003B40DD" w:rsidRPr="005B3ABD" w:rsidRDefault="003B40DD" w:rsidP="00882D36">
            <w:pPr>
              <w:pStyle w:val="Normal6"/>
              <w:jc w:val="center"/>
              <w:rPr>
                <w:color w:val="000005"/>
              </w:rPr>
            </w:pPr>
            <w:r w:rsidRPr="005B3ABD">
              <w:t>“Article 172a</w:t>
            </w:r>
          </w:p>
        </w:tc>
      </w:tr>
      <w:tr w:rsidR="003B40DD" w:rsidRPr="005B3ABD" w14:paraId="3A19A572" w14:textId="77777777" w:rsidTr="00882D36">
        <w:trPr>
          <w:jc w:val="center"/>
        </w:trPr>
        <w:tc>
          <w:tcPr>
            <w:tcW w:w="4876" w:type="dxa"/>
          </w:tcPr>
          <w:p w14:paraId="3D873DA6" w14:textId="77777777" w:rsidR="003B40DD" w:rsidRPr="005B3ABD" w:rsidRDefault="003B40DD" w:rsidP="00882D36">
            <w:pPr>
              <w:pStyle w:val="Normal6"/>
              <w:jc w:val="center"/>
              <w:rPr>
                <w:color w:val="0000FA"/>
              </w:rPr>
            </w:pPr>
            <w:r w:rsidRPr="005B3ABD">
              <w:t>Value-sharing</w:t>
            </w:r>
          </w:p>
        </w:tc>
        <w:tc>
          <w:tcPr>
            <w:tcW w:w="4876" w:type="dxa"/>
          </w:tcPr>
          <w:p w14:paraId="0854D91B" w14:textId="77777777" w:rsidR="003B40DD" w:rsidRPr="005B3ABD" w:rsidRDefault="003B40DD" w:rsidP="00882D36">
            <w:pPr>
              <w:pStyle w:val="Normal6"/>
              <w:jc w:val="center"/>
              <w:rPr>
                <w:color w:val="000005"/>
              </w:rPr>
            </w:pPr>
            <w:r w:rsidRPr="005B3ABD">
              <w:t>Value-sharing</w:t>
            </w:r>
          </w:p>
        </w:tc>
      </w:tr>
      <w:tr w:rsidR="003B40DD" w:rsidRPr="005B3ABD" w14:paraId="0BF4E777" w14:textId="77777777" w:rsidTr="00882D36">
        <w:trPr>
          <w:jc w:val="center"/>
        </w:trPr>
        <w:tc>
          <w:tcPr>
            <w:tcW w:w="4876" w:type="dxa"/>
          </w:tcPr>
          <w:p w14:paraId="04ECC894" w14:textId="77777777" w:rsidR="003B40DD" w:rsidRPr="005B3ABD" w:rsidRDefault="003B40DD" w:rsidP="00882D36">
            <w:pPr>
              <w:pStyle w:val="Normal6"/>
              <w:rPr>
                <w:color w:val="0000FA"/>
              </w:rPr>
            </w:pPr>
            <w:r w:rsidRPr="005B3ABD">
              <w:lastRenderedPageBreak/>
              <w:t xml:space="preserve">Without prejudice to any specific value-sharing clauses in the sugar sector, farmers, including associations of farmers, and their first purchaser may agree on value sharing clauses, including </w:t>
            </w:r>
            <w:r w:rsidRPr="005B3ABD">
              <w:rPr>
                <w:b/>
                <w:bCs/>
                <w:i/>
                <w:iCs/>
              </w:rPr>
              <w:t>market bonuses and losses</w:t>
            </w:r>
            <w:r w:rsidRPr="005B3ABD">
              <w:t>, determining how any evolution of relevant market prices for the products concerned or other commodity markets is to be allocated between them.’;</w:t>
            </w:r>
          </w:p>
        </w:tc>
        <w:tc>
          <w:tcPr>
            <w:tcW w:w="4876" w:type="dxa"/>
          </w:tcPr>
          <w:p w14:paraId="0AD79828" w14:textId="77777777" w:rsidR="003B40DD" w:rsidRPr="005B3ABD" w:rsidRDefault="003B40DD" w:rsidP="00882D36">
            <w:pPr>
              <w:pStyle w:val="Normal6"/>
              <w:rPr>
                <w:szCs w:val="24"/>
              </w:rPr>
            </w:pPr>
            <w:r w:rsidRPr="005B3ABD">
              <w:t xml:space="preserve">Without prejudice to any specific value-sharing clauses in the sugar sector, farmers, including associations of farmers, and their first purchaser </w:t>
            </w:r>
            <w:r w:rsidRPr="005B3ABD">
              <w:rPr>
                <w:b/>
                <w:bCs/>
                <w:i/>
                <w:iCs/>
              </w:rPr>
              <w:t>as well as purchasers situated more downstream in the value chain</w:t>
            </w:r>
            <w:r w:rsidRPr="005B3ABD">
              <w:rPr>
                <w:b/>
                <w:bCs/>
              </w:rPr>
              <w:t xml:space="preserve"> </w:t>
            </w:r>
            <w:r w:rsidRPr="005B3ABD">
              <w:t xml:space="preserve">may agree on value sharing clauses, including </w:t>
            </w:r>
            <w:r w:rsidRPr="005B3ABD">
              <w:rPr>
                <w:b/>
                <w:bCs/>
                <w:i/>
                <w:iCs/>
              </w:rPr>
              <w:t>reference market developments</w:t>
            </w:r>
            <w:r w:rsidRPr="005B3ABD">
              <w:t>, determining how any evolution of relevant market prices for the products concerned or other commodity markets is to be allocated between them.’;</w:t>
            </w:r>
          </w:p>
        </w:tc>
      </w:tr>
    </w:tbl>
    <w:p w14:paraId="4D6064C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607B22A" w14:textId="77777777" w:rsidR="003B40DD" w:rsidRPr="005B3ABD" w:rsidRDefault="003B40DD" w:rsidP="003B40DD">
      <w:pPr>
        <w:pStyle w:val="CrossRef"/>
      </w:pPr>
      <w:r w:rsidRPr="005B3ABD">
        <w:t>(https://eur-lex.europa.eu/legal-content/EN/TXT/?uri=CELEX:02013R1308-20180101)</w:t>
      </w:r>
    </w:p>
    <w:p w14:paraId="704AB6BE"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D518DC8" w14:textId="77777777" w:rsidR="003B40DD" w:rsidRPr="005B3ABD" w:rsidRDefault="003B40DD" w:rsidP="003B40DD">
      <w:pPr>
        <w:pStyle w:val="Normal12Italic"/>
      </w:pPr>
      <w:r w:rsidRPr="005B3ABD">
        <w:t>The proposed amendment shall allow operators to establish value-sharing clauses between two or more players in their contract. The expression ‘market bonuses and losses’ is too specific to futures markets, which only concern certain products.</w:t>
      </w:r>
    </w:p>
    <w:p w14:paraId="3CB92E1D" w14:textId="77777777" w:rsidR="003B40DD" w:rsidRPr="005B3ABD" w:rsidRDefault="003B40DD" w:rsidP="003B40DD">
      <w:r w:rsidRPr="005B3ABD">
        <w:rPr>
          <w:rStyle w:val="HideTWBExt"/>
          <w:noProof w:val="0"/>
          <w:color w:val="auto"/>
        </w:rPr>
        <w:t>&lt;/Amend&gt;</w:t>
      </w:r>
    </w:p>
    <w:p w14:paraId="7BB9B361"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57</w:t>
      </w:r>
      <w:r w:rsidRPr="005B3ABD">
        <w:rPr>
          <w:rStyle w:val="HideTWBExt"/>
          <w:b w:val="0"/>
          <w:noProof w:val="0"/>
          <w:color w:val="auto"/>
        </w:rPr>
        <w:t>&lt;/NumAm&gt;</w:t>
      </w:r>
    </w:p>
    <w:p w14:paraId="1E2396A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657A62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o (new)</w:t>
      </w:r>
      <w:r w:rsidRPr="005B3ABD">
        <w:rPr>
          <w:rStyle w:val="HideTWBExt"/>
          <w:b w:val="0"/>
          <w:noProof w:val="0"/>
          <w:color w:val="auto"/>
        </w:rPr>
        <w:t>&lt;/Article&gt;</w:t>
      </w:r>
    </w:p>
    <w:p w14:paraId="7B8D774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D252A6A" w14:textId="77777777" w:rsidR="003B40DD" w:rsidRPr="005B3ABD" w:rsidRDefault="003B40DD" w:rsidP="003B40DD">
      <w:r w:rsidRPr="005B3ABD">
        <w:rPr>
          <w:rStyle w:val="HideTWBExt"/>
          <w:noProof w:val="0"/>
          <w:color w:val="auto"/>
        </w:rPr>
        <w:t>&lt;Article2&gt;</w:t>
      </w:r>
      <w:r w:rsidRPr="005B3ABD">
        <w:t>Article 176 – paragraph 3</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695E989" w14:textId="77777777" w:rsidTr="00882D36">
        <w:trPr>
          <w:jc w:val="center"/>
        </w:trPr>
        <w:tc>
          <w:tcPr>
            <w:tcW w:w="9752" w:type="dxa"/>
            <w:gridSpan w:val="2"/>
          </w:tcPr>
          <w:p w14:paraId="15D92610" w14:textId="77777777" w:rsidR="003B40DD" w:rsidRPr="005B3ABD" w:rsidRDefault="003B40DD" w:rsidP="00882D36">
            <w:pPr>
              <w:keepNext/>
            </w:pPr>
          </w:p>
        </w:tc>
      </w:tr>
      <w:tr w:rsidR="003B40DD" w:rsidRPr="005B3ABD" w14:paraId="50BBF621" w14:textId="77777777" w:rsidTr="00882D36">
        <w:trPr>
          <w:jc w:val="center"/>
        </w:trPr>
        <w:tc>
          <w:tcPr>
            <w:tcW w:w="4876" w:type="dxa"/>
          </w:tcPr>
          <w:p w14:paraId="002D0FAE" w14:textId="77777777" w:rsidR="003B40DD" w:rsidRPr="005B3ABD" w:rsidRDefault="003B40DD" w:rsidP="00882D36">
            <w:pPr>
              <w:pStyle w:val="ColumnHeading"/>
              <w:keepNext/>
              <w:rPr>
                <w:color w:val="0000FA"/>
              </w:rPr>
            </w:pPr>
            <w:r w:rsidRPr="005B3ABD">
              <w:t>This text</w:t>
            </w:r>
          </w:p>
        </w:tc>
        <w:tc>
          <w:tcPr>
            <w:tcW w:w="4876" w:type="dxa"/>
          </w:tcPr>
          <w:p w14:paraId="5BBF30B2" w14:textId="77777777" w:rsidR="003B40DD" w:rsidRPr="005B3ABD" w:rsidRDefault="003B40DD" w:rsidP="00882D36">
            <w:pPr>
              <w:pStyle w:val="ColumnHeading"/>
              <w:keepNext/>
              <w:rPr>
                <w:color w:val="0000F5"/>
              </w:rPr>
            </w:pPr>
            <w:r w:rsidRPr="005B3ABD">
              <w:t>Amendment</w:t>
            </w:r>
          </w:p>
        </w:tc>
      </w:tr>
      <w:tr w:rsidR="003B40DD" w:rsidRPr="005B3ABD" w14:paraId="1F12AE1E" w14:textId="77777777" w:rsidTr="00882D36">
        <w:trPr>
          <w:jc w:val="center"/>
        </w:trPr>
        <w:tc>
          <w:tcPr>
            <w:tcW w:w="4876" w:type="dxa"/>
          </w:tcPr>
          <w:p w14:paraId="55DE3391" w14:textId="77777777" w:rsidR="003B40DD" w:rsidRPr="005B3ABD" w:rsidRDefault="003B40DD" w:rsidP="00882D36">
            <w:pPr>
              <w:pStyle w:val="Normal6"/>
              <w:rPr>
                <w:color w:val="0000FA"/>
              </w:rPr>
            </w:pPr>
          </w:p>
        </w:tc>
        <w:tc>
          <w:tcPr>
            <w:tcW w:w="4876" w:type="dxa"/>
          </w:tcPr>
          <w:p w14:paraId="486D2AE0" w14:textId="77777777" w:rsidR="003B40DD" w:rsidRPr="005B3ABD" w:rsidRDefault="003B40DD" w:rsidP="00882D36">
            <w:pPr>
              <w:pStyle w:val="Normal6"/>
              <w:rPr>
                <w:color w:val="000005"/>
                <w:szCs w:val="24"/>
              </w:rPr>
            </w:pPr>
            <w:r w:rsidRPr="005B3ABD">
              <w:rPr>
                <w:b/>
                <w:i/>
              </w:rPr>
              <w:t>(20 o)</w:t>
            </w:r>
            <w:r w:rsidRPr="005B3ABD">
              <w:rPr>
                <w:b/>
                <w:i/>
              </w:rPr>
              <w:tab/>
              <w:t>in Article 176, paragraph 3 is replaced by the following:</w:t>
            </w:r>
          </w:p>
        </w:tc>
      </w:tr>
      <w:tr w:rsidR="003B40DD" w:rsidRPr="005B3ABD" w14:paraId="08C6581C" w14:textId="77777777" w:rsidTr="00882D36">
        <w:trPr>
          <w:jc w:val="center"/>
        </w:trPr>
        <w:tc>
          <w:tcPr>
            <w:tcW w:w="4876" w:type="dxa"/>
          </w:tcPr>
          <w:p w14:paraId="2AAE671A" w14:textId="77777777" w:rsidR="003B40DD" w:rsidRPr="005B3ABD" w:rsidRDefault="003B40DD" w:rsidP="00882D36">
            <w:pPr>
              <w:pStyle w:val="Normal6"/>
              <w:rPr>
                <w:color w:val="0000FA"/>
              </w:rPr>
            </w:pPr>
            <w:r w:rsidRPr="005B3ABD">
              <w:t>3.  Licences shall be valid throughout the Union.</w:t>
            </w:r>
          </w:p>
        </w:tc>
        <w:tc>
          <w:tcPr>
            <w:tcW w:w="4876" w:type="dxa"/>
          </w:tcPr>
          <w:p w14:paraId="7FB61EBE" w14:textId="77777777" w:rsidR="003B40DD" w:rsidRPr="005B3ABD" w:rsidRDefault="003B40DD" w:rsidP="00882D36">
            <w:pPr>
              <w:pStyle w:val="Normal6"/>
              <w:rPr>
                <w:szCs w:val="24"/>
              </w:rPr>
            </w:pPr>
            <w:r w:rsidRPr="005B3ABD">
              <w:t xml:space="preserve">3.  Licences shall be valid throughout the Union. </w:t>
            </w:r>
            <w:r w:rsidRPr="005B3ABD">
              <w:rPr>
                <w:b/>
                <w:i/>
              </w:rPr>
              <w:t>All information pertaining to applicants, collected by Member States for the issue of certificates, shall be communicated to the Commission every month.</w:t>
            </w:r>
          </w:p>
        </w:tc>
      </w:tr>
    </w:tbl>
    <w:p w14:paraId="3C2EF20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007D7CC"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7EEA478" w14:textId="77777777" w:rsidR="003B40DD" w:rsidRPr="005B3ABD" w:rsidRDefault="003B40DD" w:rsidP="003B40DD">
      <w:pPr>
        <w:pStyle w:val="Normal12Italic"/>
      </w:pPr>
      <w:r w:rsidRPr="005B3ABD">
        <w:t xml:space="preserve">Although Article 177 gives considerable powers to the Commission, the latter does not systematically appear to make use thereof. Information shall only be collected once, without </w:t>
      </w:r>
      <w:r w:rsidRPr="005B3ABD">
        <w:lastRenderedPageBreak/>
        <w:t>causing administrative complexity for users. The Commission shall moreover be asked to propose procedures that make full use of new information and communication technologies so as to reduce the burden for users and optimise the use of such information.</w:t>
      </w:r>
    </w:p>
    <w:p w14:paraId="19287713" w14:textId="77777777" w:rsidR="003B40DD" w:rsidRPr="005B3ABD" w:rsidRDefault="003B40DD" w:rsidP="003B40DD">
      <w:r w:rsidRPr="005B3ABD">
        <w:rPr>
          <w:rStyle w:val="HideTWBExt"/>
          <w:noProof w:val="0"/>
          <w:color w:val="auto"/>
        </w:rPr>
        <w:t>&lt;/Amend&gt;</w:t>
      </w:r>
    </w:p>
    <w:p w14:paraId="02EF5BF6"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58</w:t>
      </w:r>
      <w:r w:rsidRPr="005B3ABD">
        <w:rPr>
          <w:rStyle w:val="HideTWBExt"/>
          <w:b w:val="0"/>
          <w:noProof w:val="0"/>
          <w:color w:val="auto"/>
        </w:rPr>
        <w:t>&lt;/NumAm&gt;</w:t>
      </w:r>
    </w:p>
    <w:p w14:paraId="33A7A2B1"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1192E3B"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p (new)</w:t>
      </w:r>
      <w:r w:rsidRPr="005B3ABD">
        <w:rPr>
          <w:rStyle w:val="HideTWBExt"/>
          <w:b w:val="0"/>
          <w:noProof w:val="0"/>
          <w:color w:val="auto"/>
        </w:rPr>
        <w:t>&lt;/Article&gt;</w:t>
      </w:r>
    </w:p>
    <w:p w14:paraId="7E0F5450"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D227AD3" w14:textId="77777777" w:rsidR="003B40DD" w:rsidRPr="005B3ABD" w:rsidRDefault="003B40DD" w:rsidP="003B40DD">
      <w:r w:rsidRPr="005B3ABD">
        <w:rPr>
          <w:rStyle w:val="HideTWBExt"/>
          <w:noProof w:val="0"/>
          <w:color w:val="auto"/>
        </w:rPr>
        <w:t>&lt;Article2&gt;</w:t>
      </w:r>
      <w:r w:rsidRPr="005B3ABD">
        <w:t>Article 177 – paragraph 2 – point d</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9728C89" w14:textId="77777777" w:rsidTr="00882D36">
        <w:trPr>
          <w:jc w:val="center"/>
        </w:trPr>
        <w:tc>
          <w:tcPr>
            <w:tcW w:w="9752" w:type="dxa"/>
            <w:gridSpan w:val="2"/>
          </w:tcPr>
          <w:p w14:paraId="1ECEAA93" w14:textId="77777777" w:rsidR="003B40DD" w:rsidRPr="005B3ABD" w:rsidRDefault="003B40DD" w:rsidP="00882D36">
            <w:pPr>
              <w:keepNext/>
            </w:pPr>
          </w:p>
        </w:tc>
      </w:tr>
      <w:tr w:rsidR="003B40DD" w:rsidRPr="005B3ABD" w14:paraId="51BCCE3E" w14:textId="77777777" w:rsidTr="00882D36">
        <w:trPr>
          <w:jc w:val="center"/>
        </w:trPr>
        <w:tc>
          <w:tcPr>
            <w:tcW w:w="4876" w:type="dxa"/>
          </w:tcPr>
          <w:p w14:paraId="3A865A62" w14:textId="77777777" w:rsidR="003B40DD" w:rsidRPr="005B3ABD" w:rsidRDefault="003B40DD" w:rsidP="00882D36">
            <w:pPr>
              <w:pStyle w:val="ColumnHeading"/>
              <w:keepNext/>
              <w:rPr>
                <w:color w:val="0000FA"/>
              </w:rPr>
            </w:pPr>
            <w:r w:rsidRPr="005B3ABD">
              <w:t>Text proposed by the Commission</w:t>
            </w:r>
          </w:p>
        </w:tc>
        <w:tc>
          <w:tcPr>
            <w:tcW w:w="4876" w:type="dxa"/>
          </w:tcPr>
          <w:p w14:paraId="4F4629C2" w14:textId="77777777" w:rsidR="003B40DD" w:rsidRPr="005B3ABD" w:rsidRDefault="003B40DD" w:rsidP="00882D36">
            <w:pPr>
              <w:pStyle w:val="ColumnHeading"/>
              <w:keepNext/>
              <w:rPr>
                <w:color w:val="0000F5"/>
              </w:rPr>
            </w:pPr>
            <w:r w:rsidRPr="005B3ABD">
              <w:t>Amendment</w:t>
            </w:r>
          </w:p>
        </w:tc>
      </w:tr>
      <w:tr w:rsidR="003B40DD" w:rsidRPr="005B3ABD" w14:paraId="3CEEC1DF" w14:textId="77777777" w:rsidTr="00882D36">
        <w:trPr>
          <w:jc w:val="center"/>
        </w:trPr>
        <w:tc>
          <w:tcPr>
            <w:tcW w:w="4876" w:type="dxa"/>
          </w:tcPr>
          <w:p w14:paraId="53410766" w14:textId="77777777" w:rsidR="003B40DD" w:rsidRPr="005B3ABD" w:rsidRDefault="003B40DD" w:rsidP="00882D36">
            <w:pPr>
              <w:pStyle w:val="Normal6"/>
              <w:rPr>
                <w:color w:val="0000FA"/>
              </w:rPr>
            </w:pPr>
          </w:p>
        </w:tc>
        <w:tc>
          <w:tcPr>
            <w:tcW w:w="4876" w:type="dxa"/>
          </w:tcPr>
          <w:p w14:paraId="00C5BCF5" w14:textId="77777777" w:rsidR="003B40DD" w:rsidRPr="005B3ABD" w:rsidRDefault="003B40DD" w:rsidP="00882D36">
            <w:pPr>
              <w:pStyle w:val="Normal6"/>
              <w:rPr>
                <w:szCs w:val="24"/>
              </w:rPr>
            </w:pPr>
            <w:r w:rsidRPr="005B3ABD">
              <w:rPr>
                <w:b/>
                <w:i/>
              </w:rPr>
              <w:t>(20 p)</w:t>
            </w:r>
            <w:r w:rsidRPr="005B3ABD">
              <w:rPr>
                <w:b/>
                <w:i/>
              </w:rPr>
              <w:tab/>
              <w:t>In Article 177(2), point (d) shall be deleted.</w:t>
            </w:r>
          </w:p>
        </w:tc>
      </w:tr>
    </w:tbl>
    <w:p w14:paraId="2E904AB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08E8D4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7CF4F0A" w14:textId="77777777" w:rsidR="003B40DD" w:rsidRPr="005B3ABD" w:rsidRDefault="003B40DD" w:rsidP="003B40DD">
      <w:pPr>
        <w:pStyle w:val="Normal12Italic"/>
      </w:pPr>
      <w:r w:rsidRPr="005B3ABD">
        <w:t>Point (d) shall be deleted in consistency with the deletion requested by the Commission of Article 189 on imports of hemp and hemp seeds.</w:t>
      </w:r>
    </w:p>
    <w:p w14:paraId="5717EF8C" w14:textId="77777777" w:rsidR="003B40DD" w:rsidRPr="005B3ABD" w:rsidRDefault="003B40DD" w:rsidP="003B40DD">
      <w:r w:rsidRPr="005B3ABD">
        <w:rPr>
          <w:rStyle w:val="HideTWBExt"/>
          <w:noProof w:val="0"/>
          <w:color w:val="auto"/>
        </w:rPr>
        <w:t>&lt;/Amend&gt;</w:t>
      </w:r>
    </w:p>
    <w:p w14:paraId="19F56D9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59</w:t>
      </w:r>
      <w:r w:rsidRPr="005B3ABD">
        <w:rPr>
          <w:rStyle w:val="HideTWBExt"/>
          <w:b w:val="0"/>
          <w:noProof w:val="0"/>
          <w:color w:val="auto"/>
        </w:rPr>
        <w:t>&lt;/NumAm&gt;</w:t>
      </w:r>
    </w:p>
    <w:p w14:paraId="777B2A2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B0C04C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q (new)</w:t>
      </w:r>
      <w:r w:rsidRPr="005B3ABD">
        <w:rPr>
          <w:rStyle w:val="HideTWBExt"/>
          <w:b w:val="0"/>
          <w:noProof w:val="0"/>
          <w:color w:val="auto"/>
        </w:rPr>
        <w:t>&lt;/Article&gt;</w:t>
      </w:r>
    </w:p>
    <w:p w14:paraId="271F7F7D"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E6A9F4B" w14:textId="77777777" w:rsidR="003B40DD" w:rsidRPr="005B3ABD" w:rsidRDefault="003B40DD" w:rsidP="003B40DD">
      <w:r w:rsidRPr="005B3ABD">
        <w:rPr>
          <w:rStyle w:val="HideTWBExt"/>
          <w:noProof w:val="0"/>
          <w:color w:val="auto"/>
        </w:rPr>
        <w:t>&lt;Article2&gt;</w:t>
      </w:r>
      <w:r w:rsidRPr="005B3ABD">
        <w:t>Article 182 – paragraph 1 – point b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7CEB99C" w14:textId="77777777" w:rsidTr="00882D36">
        <w:trPr>
          <w:jc w:val="center"/>
        </w:trPr>
        <w:tc>
          <w:tcPr>
            <w:tcW w:w="9752" w:type="dxa"/>
            <w:gridSpan w:val="2"/>
          </w:tcPr>
          <w:p w14:paraId="5B6E0BFC" w14:textId="77777777" w:rsidR="003B40DD" w:rsidRPr="005B3ABD" w:rsidRDefault="003B40DD" w:rsidP="00882D36">
            <w:pPr>
              <w:keepNext/>
            </w:pPr>
          </w:p>
        </w:tc>
      </w:tr>
      <w:tr w:rsidR="003B40DD" w:rsidRPr="005B3ABD" w14:paraId="173ED09E" w14:textId="77777777" w:rsidTr="00882D36">
        <w:trPr>
          <w:jc w:val="center"/>
        </w:trPr>
        <w:tc>
          <w:tcPr>
            <w:tcW w:w="4876" w:type="dxa"/>
          </w:tcPr>
          <w:p w14:paraId="40B36133" w14:textId="77777777" w:rsidR="003B40DD" w:rsidRPr="005B3ABD" w:rsidRDefault="003B40DD" w:rsidP="00882D36">
            <w:pPr>
              <w:pStyle w:val="ColumnHeading"/>
              <w:keepNext/>
              <w:rPr>
                <w:color w:val="0000FA"/>
              </w:rPr>
            </w:pPr>
            <w:r w:rsidRPr="005B3ABD">
              <w:t>Text proposed by the Commission</w:t>
            </w:r>
          </w:p>
        </w:tc>
        <w:tc>
          <w:tcPr>
            <w:tcW w:w="4876" w:type="dxa"/>
          </w:tcPr>
          <w:p w14:paraId="3CA4BEF7" w14:textId="77777777" w:rsidR="003B40DD" w:rsidRPr="005B3ABD" w:rsidRDefault="003B40DD" w:rsidP="00882D36">
            <w:pPr>
              <w:pStyle w:val="ColumnHeading"/>
              <w:keepNext/>
              <w:rPr>
                <w:color w:val="0000F5"/>
              </w:rPr>
            </w:pPr>
            <w:r w:rsidRPr="005B3ABD">
              <w:t>Amendment</w:t>
            </w:r>
          </w:p>
        </w:tc>
      </w:tr>
      <w:tr w:rsidR="003B40DD" w:rsidRPr="005B3ABD" w14:paraId="131C7A28" w14:textId="77777777" w:rsidTr="00882D36">
        <w:trPr>
          <w:jc w:val="center"/>
        </w:trPr>
        <w:tc>
          <w:tcPr>
            <w:tcW w:w="4876" w:type="dxa"/>
          </w:tcPr>
          <w:p w14:paraId="5FD5EA6E" w14:textId="77777777" w:rsidR="003B40DD" w:rsidRPr="005B3ABD" w:rsidRDefault="003B40DD" w:rsidP="00882D36">
            <w:pPr>
              <w:pStyle w:val="Normal6"/>
              <w:rPr>
                <w:color w:val="0000FA"/>
              </w:rPr>
            </w:pPr>
          </w:p>
        </w:tc>
        <w:tc>
          <w:tcPr>
            <w:tcW w:w="4876" w:type="dxa"/>
          </w:tcPr>
          <w:p w14:paraId="2C8F5E2C" w14:textId="77777777" w:rsidR="003B40DD" w:rsidRPr="005B3ABD" w:rsidRDefault="003B40DD" w:rsidP="00882D36">
            <w:pPr>
              <w:pStyle w:val="Normal6"/>
              <w:rPr>
                <w:color w:val="000005"/>
                <w:szCs w:val="24"/>
              </w:rPr>
            </w:pPr>
            <w:r w:rsidRPr="005B3ABD">
              <w:rPr>
                <w:b/>
                <w:i/>
              </w:rPr>
              <w:t>(20 q)</w:t>
            </w:r>
            <w:r w:rsidRPr="005B3ABD">
              <w:rPr>
                <w:b/>
                <w:i/>
              </w:rPr>
              <w:tab/>
              <w:t>in Article 182, paragraph 1, the following point is inserted:</w:t>
            </w:r>
          </w:p>
        </w:tc>
      </w:tr>
      <w:tr w:rsidR="003B40DD" w:rsidRPr="005B3ABD" w14:paraId="7935FA6C" w14:textId="77777777" w:rsidTr="00882D36">
        <w:trPr>
          <w:jc w:val="center"/>
        </w:trPr>
        <w:tc>
          <w:tcPr>
            <w:tcW w:w="4876" w:type="dxa"/>
          </w:tcPr>
          <w:p w14:paraId="4686FE8A" w14:textId="77777777" w:rsidR="003B40DD" w:rsidRPr="005B3ABD" w:rsidRDefault="003B40DD" w:rsidP="00882D36">
            <w:pPr>
              <w:pStyle w:val="Normal6"/>
              <w:rPr>
                <w:color w:val="0000FA"/>
              </w:rPr>
            </w:pPr>
          </w:p>
        </w:tc>
        <w:tc>
          <w:tcPr>
            <w:tcW w:w="4876" w:type="dxa"/>
          </w:tcPr>
          <w:p w14:paraId="43DFBBD7" w14:textId="77777777" w:rsidR="003B40DD" w:rsidRPr="005B3ABD" w:rsidRDefault="003B40DD" w:rsidP="00882D36">
            <w:pPr>
              <w:pStyle w:val="Normal6"/>
              <w:rPr>
                <w:szCs w:val="24"/>
              </w:rPr>
            </w:pPr>
            <w:r w:rsidRPr="005B3ABD">
              <w:rPr>
                <w:b/>
                <w:i/>
              </w:rPr>
              <w:t>(b a) the volume of imports in a given year at preferential rates agreed upon between the Union and third countries in the scope of free-trade agreements exceeds a certain level (‘market exposure volume’).</w:t>
            </w:r>
          </w:p>
        </w:tc>
      </w:tr>
    </w:tbl>
    <w:p w14:paraId="26D500D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48DF878"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581EE8E" w14:textId="77777777" w:rsidR="003B40DD" w:rsidRPr="005B3ABD" w:rsidRDefault="003B40DD" w:rsidP="003B40DD">
      <w:pPr>
        <w:pStyle w:val="Normal12Italic"/>
      </w:pPr>
      <w:r w:rsidRPr="005B3ABD">
        <w:t xml:space="preserve">This amendment proposes a new criterion for the application of additional import duty </w:t>
      </w:r>
      <w:r w:rsidRPr="005B3ABD">
        <w:lastRenderedPageBreak/>
        <w:t>provided for in the CMO agreement which helps to prevent or neutralise the harmful effects that imports may have on the EU market.</w:t>
      </w:r>
    </w:p>
    <w:p w14:paraId="44A9AB0E" w14:textId="77777777" w:rsidR="003B40DD" w:rsidRPr="005B3ABD" w:rsidRDefault="003B40DD" w:rsidP="003B40DD">
      <w:r w:rsidRPr="005B3ABD">
        <w:rPr>
          <w:rStyle w:val="HideTWBExt"/>
          <w:noProof w:val="0"/>
          <w:color w:val="auto"/>
        </w:rPr>
        <w:t>&lt;/Amend&gt;</w:t>
      </w:r>
    </w:p>
    <w:p w14:paraId="102222D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60</w:t>
      </w:r>
      <w:r w:rsidRPr="005B3ABD">
        <w:rPr>
          <w:rStyle w:val="HideTWBExt"/>
          <w:b w:val="0"/>
          <w:noProof w:val="0"/>
          <w:color w:val="auto"/>
        </w:rPr>
        <w:t>&lt;/NumAm&gt;</w:t>
      </w:r>
    </w:p>
    <w:p w14:paraId="089E87B7"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4C93E8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r (new)</w:t>
      </w:r>
      <w:r w:rsidRPr="005B3ABD">
        <w:rPr>
          <w:rStyle w:val="HideTWBExt"/>
          <w:b w:val="0"/>
          <w:noProof w:val="0"/>
          <w:color w:val="auto"/>
        </w:rPr>
        <w:t>&lt;/Article&gt;</w:t>
      </w:r>
    </w:p>
    <w:p w14:paraId="777008EB"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0131DB4" w14:textId="77777777" w:rsidR="003B40DD" w:rsidRPr="005B3ABD" w:rsidRDefault="003B40DD" w:rsidP="003B40DD">
      <w:r w:rsidRPr="005B3ABD">
        <w:rPr>
          <w:rStyle w:val="HideTWBExt"/>
          <w:noProof w:val="0"/>
          <w:color w:val="auto"/>
        </w:rPr>
        <w:t>&lt;Article2&gt;</w:t>
      </w:r>
      <w:r w:rsidRPr="005B3ABD">
        <w:t>Article 182 – paragraph 1 – subparagraph 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BFA46C4" w14:textId="77777777" w:rsidTr="00882D36">
        <w:trPr>
          <w:jc w:val="center"/>
        </w:trPr>
        <w:tc>
          <w:tcPr>
            <w:tcW w:w="9752" w:type="dxa"/>
            <w:gridSpan w:val="2"/>
          </w:tcPr>
          <w:p w14:paraId="18673F76" w14:textId="77777777" w:rsidR="003B40DD" w:rsidRPr="005B3ABD" w:rsidRDefault="003B40DD" w:rsidP="00882D36">
            <w:pPr>
              <w:keepNext/>
            </w:pPr>
          </w:p>
        </w:tc>
      </w:tr>
      <w:tr w:rsidR="003B40DD" w:rsidRPr="005B3ABD" w14:paraId="5E6F4A2B" w14:textId="77777777" w:rsidTr="00882D36">
        <w:trPr>
          <w:jc w:val="center"/>
        </w:trPr>
        <w:tc>
          <w:tcPr>
            <w:tcW w:w="4876" w:type="dxa"/>
          </w:tcPr>
          <w:p w14:paraId="5B79B02F" w14:textId="77777777" w:rsidR="003B40DD" w:rsidRPr="005B3ABD" w:rsidRDefault="003B40DD" w:rsidP="00882D36">
            <w:pPr>
              <w:pStyle w:val="ColumnHeading"/>
              <w:keepNext/>
              <w:rPr>
                <w:color w:val="0000FA"/>
              </w:rPr>
            </w:pPr>
            <w:r w:rsidRPr="005B3ABD">
              <w:t>This text</w:t>
            </w:r>
          </w:p>
        </w:tc>
        <w:tc>
          <w:tcPr>
            <w:tcW w:w="4876" w:type="dxa"/>
          </w:tcPr>
          <w:p w14:paraId="6668D2E3" w14:textId="77777777" w:rsidR="003B40DD" w:rsidRPr="005B3ABD" w:rsidRDefault="003B40DD" w:rsidP="00882D36">
            <w:pPr>
              <w:pStyle w:val="ColumnHeading"/>
              <w:keepNext/>
              <w:rPr>
                <w:color w:val="0000F5"/>
              </w:rPr>
            </w:pPr>
            <w:r w:rsidRPr="005B3ABD">
              <w:t>Amendment</w:t>
            </w:r>
          </w:p>
        </w:tc>
      </w:tr>
      <w:tr w:rsidR="003B40DD" w:rsidRPr="005B3ABD" w14:paraId="38DD90DA" w14:textId="77777777" w:rsidTr="00882D36">
        <w:trPr>
          <w:jc w:val="center"/>
        </w:trPr>
        <w:tc>
          <w:tcPr>
            <w:tcW w:w="4876" w:type="dxa"/>
          </w:tcPr>
          <w:p w14:paraId="6E7D4F8D" w14:textId="77777777" w:rsidR="003B40DD" w:rsidRPr="005B3ABD" w:rsidRDefault="003B40DD" w:rsidP="00882D36">
            <w:pPr>
              <w:pStyle w:val="Normal6"/>
              <w:rPr>
                <w:color w:val="0000FA"/>
              </w:rPr>
            </w:pPr>
          </w:p>
        </w:tc>
        <w:tc>
          <w:tcPr>
            <w:tcW w:w="4876" w:type="dxa"/>
          </w:tcPr>
          <w:p w14:paraId="5861BEB2" w14:textId="77777777" w:rsidR="003B40DD" w:rsidRPr="005B3ABD" w:rsidRDefault="003B40DD" w:rsidP="00882D36">
            <w:pPr>
              <w:pStyle w:val="Normal6"/>
              <w:rPr>
                <w:color w:val="000005"/>
                <w:szCs w:val="24"/>
              </w:rPr>
            </w:pPr>
            <w:r w:rsidRPr="005B3ABD">
              <w:rPr>
                <w:b/>
                <w:i/>
              </w:rPr>
              <w:t>(20 r)</w:t>
            </w:r>
            <w:r w:rsidRPr="005B3ABD">
              <w:rPr>
                <w:b/>
                <w:i/>
              </w:rPr>
              <w:tab/>
              <w:t>In Article 182(1), the second subparagraph is replaced by the following:</w:t>
            </w:r>
          </w:p>
        </w:tc>
      </w:tr>
      <w:tr w:rsidR="003B40DD" w:rsidRPr="005B3ABD" w14:paraId="21E2EDE2" w14:textId="77777777" w:rsidTr="00882D36">
        <w:trPr>
          <w:jc w:val="center"/>
        </w:trPr>
        <w:tc>
          <w:tcPr>
            <w:tcW w:w="4876" w:type="dxa"/>
          </w:tcPr>
          <w:p w14:paraId="270ABB09" w14:textId="77777777" w:rsidR="003B40DD" w:rsidRPr="005B3ABD" w:rsidRDefault="003B40DD" w:rsidP="00882D36">
            <w:pPr>
              <w:pStyle w:val="Normal6"/>
              <w:rPr>
                <w:color w:val="0000FA"/>
              </w:rPr>
            </w:pPr>
            <w:r w:rsidRPr="005B3ABD">
              <w:t>The trigger volume shall be based on market access opportunities defined as imports expressed as a percentage of the corresponding domestic consumption during the three previous years.</w:t>
            </w:r>
          </w:p>
        </w:tc>
        <w:tc>
          <w:tcPr>
            <w:tcW w:w="4876" w:type="dxa"/>
          </w:tcPr>
          <w:p w14:paraId="61B618D1" w14:textId="77777777" w:rsidR="003B40DD" w:rsidRPr="005B3ABD" w:rsidRDefault="003B40DD" w:rsidP="00882D36">
            <w:pPr>
              <w:pStyle w:val="Normal6"/>
              <w:rPr>
                <w:szCs w:val="24"/>
              </w:rPr>
            </w:pPr>
            <w:r w:rsidRPr="005B3ABD">
              <w:t xml:space="preserve">The trigger volume shall be based on market access opportunities defined as imports expressed as a percentage of the corresponding domestic consumption during the three previous years. </w:t>
            </w:r>
            <w:r w:rsidRPr="005B3ABD">
              <w:rPr>
                <w:b/>
                <w:i/>
              </w:rPr>
              <w:t>It shall regularly be redefined to take changes in the size of the European market into account. The trigger price shall regularly be redefined to take developments in global markets and production costs into account.”</w:t>
            </w:r>
            <w:r w:rsidRPr="005B3ABD">
              <w:t xml:space="preserve"> </w:t>
            </w:r>
          </w:p>
        </w:tc>
      </w:tr>
    </w:tbl>
    <w:p w14:paraId="19CCB66B"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D7EED01" w14:textId="77777777" w:rsidR="003B40DD" w:rsidRPr="005B3ABD" w:rsidRDefault="003B40DD" w:rsidP="003B40DD">
      <w:pPr>
        <w:pStyle w:val="CrossRef"/>
      </w:pPr>
      <w:r w:rsidRPr="005B3ABD">
        <w:t>(https://eur-lex.europa.eu/legal-content/EN/TXT/?uri=CELEX:02013R1308-20180101)</w:t>
      </w:r>
    </w:p>
    <w:p w14:paraId="695719CD"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D85B087" w14:textId="77777777" w:rsidR="003B40DD" w:rsidRPr="005B3ABD" w:rsidRDefault="003B40DD" w:rsidP="003B40DD">
      <w:pPr>
        <w:pStyle w:val="Normal12Italic"/>
      </w:pPr>
      <w:r w:rsidRPr="005B3ABD">
        <w:t>This amendment proposes that trigger prices and volumes notified to the CMO more than 20 years ago should be updated to reflect changes in the market size (reduced meat consumption, Brexit and the transition from a market with 27 Member States). As a reminder, Article 182 makes it possible to prevent or counteract adverse effects on the Union market which may result from those imports.</w:t>
      </w:r>
    </w:p>
    <w:p w14:paraId="1CD209D4" w14:textId="77777777" w:rsidR="003B40DD" w:rsidRPr="005B3ABD" w:rsidRDefault="003B40DD" w:rsidP="003B40DD">
      <w:r w:rsidRPr="005B3ABD">
        <w:rPr>
          <w:rStyle w:val="HideTWBExt"/>
          <w:noProof w:val="0"/>
          <w:color w:val="auto"/>
        </w:rPr>
        <w:t>&lt;/Amend&gt;</w:t>
      </w:r>
    </w:p>
    <w:p w14:paraId="7801B97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61</w:t>
      </w:r>
      <w:r w:rsidRPr="005B3ABD">
        <w:rPr>
          <w:rStyle w:val="HideTWBExt"/>
          <w:b w:val="0"/>
          <w:noProof w:val="0"/>
          <w:color w:val="auto"/>
        </w:rPr>
        <w:t>&lt;/NumAm&gt;</w:t>
      </w:r>
    </w:p>
    <w:p w14:paraId="75346E0E"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76F03E5"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22 s (new)</w:t>
      </w:r>
      <w:r w:rsidRPr="005B3ABD">
        <w:rPr>
          <w:rStyle w:val="HideTWBExt"/>
          <w:b w:val="0"/>
          <w:noProof w:val="0"/>
          <w:color w:val="auto"/>
        </w:rPr>
        <w:t>&lt;/Article&gt;</w:t>
      </w:r>
    </w:p>
    <w:p w14:paraId="78F56F4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ABB3089" w14:textId="77777777" w:rsidR="003B40DD" w:rsidRPr="005B3ABD" w:rsidRDefault="003B40DD" w:rsidP="003B40DD">
      <w:r w:rsidRPr="005B3ABD">
        <w:rPr>
          <w:rStyle w:val="HideTWBExt"/>
          <w:noProof w:val="0"/>
          <w:color w:val="auto"/>
        </w:rPr>
        <w:t>&lt;Article2&gt;</w:t>
      </w:r>
      <w:r w:rsidRPr="005B3ABD">
        <w:t>Article 1 – paragraph 1 – subparagraph 3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17C4A10" w14:textId="77777777" w:rsidTr="00882D36">
        <w:trPr>
          <w:jc w:val="center"/>
        </w:trPr>
        <w:tc>
          <w:tcPr>
            <w:tcW w:w="9752" w:type="dxa"/>
            <w:gridSpan w:val="2"/>
          </w:tcPr>
          <w:p w14:paraId="7A42030F" w14:textId="77777777" w:rsidR="003B40DD" w:rsidRPr="005B3ABD" w:rsidRDefault="003B40DD" w:rsidP="00882D36">
            <w:pPr>
              <w:keepNext/>
            </w:pPr>
          </w:p>
        </w:tc>
      </w:tr>
      <w:tr w:rsidR="003B40DD" w:rsidRPr="005B3ABD" w14:paraId="15242CB1" w14:textId="77777777" w:rsidTr="00882D36">
        <w:trPr>
          <w:jc w:val="center"/>
        </w:trPr>
        <w:tc>
          <w:tcPr>
            <w:tcW w:w="4876" w:type="dxa"/>
          </w:tcPr>
          <w:p w14:paraId="28322C25" w14:textId="77777777" w:rsidR="003B40DD" w:rsidRPr="005B3ABD" w:rsidRDefault="003B40DD" w:rsidP="00882D36">
            <w:pPr>
              <w:pStyle w:val="ColumnHeading"/>
              <w:keepNext/>
              <w:rPr>
                <w:color w:val="0000FA"/>
              </w:rPr>
            </w:pPr>
            <w:r w:rsidRPr="005B3ABD">
              <w:t>Text proposed by the Commission</w:t>
            </w:r>
          </w:p>
        </w:tc>
        <w:tc>
          <w:tcPr>
            <w:tcW w:w="4876" w:type="dxa"/>
          </w:tcPr>
          <w:p w14:paraId="27D4433C" w14:textId="77777777" w:rsidR="003B40DD" w:rsidRPr="005B3ABD" w:rsidRDefault="003B40DD" w:rsidP="00882D36">
            <w:pPr>
              <w:pStyle w:val="ColumnHeading"/>
              <w:keepNext/>
              <w:rPr>
                <w:color w:val="0000F5"/>
              </w:rPr>
            </w:pPr>
            <w:r w:rsidRPr="005B3ABD">
              <w:t>Amendment</w:t>
            </w:r>
          </w:p>
        </w:tc>
      </w:tr>
      <w:tr w:rsidR="003B40DD" w:rsidRPr="005B3ABD" w14:paraId="42EA5783" w14:textId="77777777" w:rsidTr="00882D36">
        <w:trPr>
          <w:jc w:val="center"/>
        </w:trPr>
        <w:tc>
          <w:tcPr>
            <w:tcW w:w="4876" w:type="dxa"/>
          </w:tcPr>
          <w:p w14:paraId="27D33840" w14:textId="77777777" w:rsidR="003B40DD" w:rsidRPr="005B3ABD" w:rsidRDefault="003B40DD" w:rsidP="00882D36">
            <w:pPr>
              <w:pStyle w:val="Normal6"/>
              <w:rPr>
                <w:color w:val="0000FA"/>
              </w:rPr>
            </w:pPr>
          </w:p>
        </w:tc>
        <w:tc>
          <w:tcPr>
            <w:tcW w:w="4876" w:type="dxa"/>
          </w:tcPr>
          <w:p w14:paraId="6D21C0B2" w14:textId="77777777" w:rsidR="003B40DD" w:rsidRPr="005B3ABD" w:rsidRDefault="003B40DD" w:rsidP="00882D36">
            <w:pPr>
              <w:pStyle w:val="Normal6"/>
              <w:rPr>
                <w:color w:val="000005"/>
                <w:szCs w:val="24"/>
              </w:rPr>
            </w:pPr>
            <w:r w:rsidRPr="005B3ABD">
              <w:rPr>
                <w:b/>
                <w:i/>
              </w:rPr>
              <w:t>(20 s)</w:t>
            </w:r>
            <w:r w:rsidRPr="005B3ABD">
              <w:rPr>
                <w:b/>
                <w:i/>
              </w:rPr>
              <w:tab/>
              <w:t>In Article 182, the following subparagraph is added to paragraph 1:</w:t>
            </w:r>
          </w:p>
        </w:tc>
      </w:tr>
      <w:tr w:rsidR="003B40DD" w:rsidRPr="005B3ABD" w14:paraId="1D6055EE" w14:textId="77777777" w:rsidTr="00882D36">
        <w:trPr>
          <w:jc w:val="center"/>
        </w:trPr>
        <w:tc>
          <w:tcPr>
            <w:tcW w:w="4876" w:type="dxa"/>
          </w:tcPr>
          <w:p w14:paraId="332C1754" w14:textId="77777777" w:rsidR="003B40DD" w:rsidRPr="005B3ABD" w:rsidRDefault="003B40DD" w:rsidP="00882D36">
            <w:pPr>
              <w:pStyle w:val="Normal6"/>
              <w:rPr>
                <w:color w:val="0000FA"/>
              </w:rPr>
            </w:pPr>
          </w:p>
        </w:tc>
        <w:tc>
          <w:tcPr>
            <w:tcW w:w="4876" w:type="dxa"/>
          </w:tcPr>
          <w:p w14:paraId="3D87CA15" w14:textId="77777777" w:rsidR="003B40DD" w:rsidRPr="005B3ABD" w:rsidRDefault="003B40DD" w:rsidP="00882D36">
            <w:pPr>
              <w:pStyle w:val="Normal6"/>
              <w:rPr>
                <w:szCs w:val="24"/>
              </w:rPr>
            </w:pPr>
            <w:r w:rsidRPr="005B3ABD">
              <w:rPr>
                <w:b/>
                <w:i/>
              </w:rPr>
              <w:t>The market exposure volume shall be based on imports at preferential rates expressed as a percentage of the total level of market exposure that can be borne by the sectors concerned.</w:t>
            </w:r>
          </w:p>
        </w:tc>
      </w:tr>
    </w:tbl>
    <w:p w14:paraId="13CD5E2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8A2F8EE"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F34A3B8" w14:textId="77777777" w:rsidR="003B40DD" w:rsidRPr="005B3ABD" w:rsidRDefault="003B40DD" w:rsidP="003B40DD">
      <w:pPr>
        <w:pStyle w:val="Normal12Italic"/>
      </w:pPr>
      <w:r w:rsidRPr="005B3ABD">
        <w:t>This amendment proposes a new criterion for the application of an additional import duty provided for in the CMO agreement to prevent or counteract adverse effects on the Union market which may result from those imports.</w:t>
      </w:r>
    </w:p>
    <w:p w14:paraId="11799AD8" w14:textId="77777777" w:rsidR="003B40DD" w:rsidRPr="005B3ABD" w:rsidRDefault="003B40DD" w:rsidP="003B40DD">
      <w:r w:rsidRPr="005B3ABD">
        <w:rPr>
          <w:rStyle w:val="HideTWBExt"/>
          <w:noProof w:val="0"/>
          <w:color w:val="auto"/>
        </w:rPr>
        <w:t>&lt;/Amend&gt;</w:t>
      </w:r>
    </w:p>
    <w:p w14:paraId="474819DB"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62</w:t>
      </w:r>
      <w:r w:rsidRPr="005B3ABD">
        <w:rPr>
          <w:rStyle w:val="HideTWBExt"/>
          <w:b w:val="0"/>
          <w:noProof w:val="0"/>
          <w:color w:val="auto"/>
        </w:rPr>
        <w:t>&lt;/NumAm&gt;</w:t>
      </w:r>
    </w:p>
    <w:p w14:paraId="3414B60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9992C9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a (new)</w:t>
      </w:r>
      <w:r w:rsidRPr="005B3ABD">
        <w:rPr>
          <w:rStyle w:val="HideTWBExt"/>
          <w:b w:val="0"/>
          <w:noProof w:val="0"/>
          <w:color w:val="auto"/>
        </w:rPr>
        <w:t>&lt;/Article&gt;</w:t>
      </w:r>
    </w:p>
    <w:p w14:paraId="244FD60D"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5D3719D" w14:textId="77777777" w:rsidR="003B40DD" w:rsidRPr="005B3ABD" w:rsidRDefault="003B40DD" w:rsidP="003B40DD">
      <w:r w:rsidRPr="005B3ABD">
        <w:rPr>
          <w:rStyle w:val="HideTWBExt"/>
          <w:noProof w:val="0"/>
          <w:color w:val="auto"/>
        </w:rPr>
        <w:t>&lt;Article2&gt;</w:t>
      </w:r>
      <w:r w:rsidRPr="005B3ABD">
        <w:t>Article 209 – paragraph 1 – subparagraph 3</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610EA58" w14:textId="77777777" w:rsidTr="00882D36">
        <w:trPr>
          <w:jc w:val="center"/>
        </w:trPr>
        <w:tc>
          <w:tcPr>
            <w:tcW w:w="9752" w:type="dxa"/>
            <w:gridSpan w:val="2"/>
          </w:tcPr>
          <w:p w14:paraId="3BBA530D" w14:textId="77777777" w:rsidR="003B40DD" w:rsidRPr="005B3ABD" w:rsidRDefault="003B40DD" w:rsidP="00882D36">
            <w:pPr>
              <w:keepNext/>
            </w:pPr>
          </w:p>
        </w:tc>
      </w:tr>
      <w:tr w:rsidR="003B40DD" w:rsidRPr="005B3ABD" w14:paraId="4CD2D458" w14:textId="77777777" w:rsidTr="00882D36">
        <w:trPr>
          <w:jc w:val="center"/>
        </w:trPr>
        <w:tc>
          <w:tcPr>
            <w:tcW w:w="4876" w:type="dxa"/>
          </w:tcPr>
          <w:p w14:paraId="01FB1CE5" w14:textId="77777777" w:rsidR="003B40DD" w:rsidRPr="005B3ABD" w:rsidRDefault="003B40DD" w:rsidP="00882D36">
            <w:pPr>
              <w:pStyle w:val="ColumnHeading"/>
              <w:keepNext/>
              <w:rPr>
                <w:color w:val="0000FA"/>
              </w:rPr>
            </w:pPr>
            <w:r w:rsidRPr="005B3ABD">
              <w:t>This text</w:t>
            </w:r>
          </w:p>
        </w:tc>
        <w:tc>
          <w:tcPr>
            <w:tcW w:w="4876" w:type="dxa"/>
          </w:tcPr>
          <w:p w14:paraId="19903876" w14:textId="77777777" w:rsidR="003B40DD" w:rsidRPr="005B3ABD" w:rsidRDefault="003B40DD" w:rsidP="00882D36">
            <w:pPr>
              <w:pStyle w:val="ColumnHeading"/>
              <w:keepNext/>
              <w:rPr>
                <w:color w:val="0000F5"/>
              </w:rPr>
            </w:pPr>
            <w:r w:rsidRPr="005B3ABD">
              <w:t>Amendment</w:t>
            </w:r>
          </w:p>
        </w:tc>
      </w:tr>
      <w:tr w:rsidR="003B40DD" w:rsidRPr="005B3ABD" w14:paraId="6549521C" w14:textId="77777777" w:rsidTr="00882D36">
        <w:trPr>
          <w:jc w:val="center"/>
        </w:trPr>
        <w:tc>
          <w:tcPr>
            <w:tcW w:w="4876" w:type="dxa"/>
          </w:tcPr>
          <w:p w14:paraId="4F291DC4" w14:textId="77777777" w:rsidR="003B40DD" w:rsidRPr="005B3ABD" w:rsidRDefault="003B40DD" w:rsidP="00882D36">
            <w:pPr>
              <w:pStyle w:val="Normal6"/>
              <w:rPr>
                <w:color w:val="0000FA"/>
              </w:rPr>
            </w:pPr>
          </w:p>
        </w:tc>
        <w:tc>
          <w:tcPr>
            <w:tcW w:w="4876" w:type="dxa"/>
          </w:tcPr>
          <w:p w14:paraId="7767D452" w14:textId="77777777" w:rsidR="003B40DD" w:rsidRPr="005B3ABD" w:rsidRDefault="003B40DD" w:rsidP="00882D36">
            <w:pPr>
              <w:pStyle w:val="Normal6"/>
              <w:rPr>
                <w:color w:val="000005"/>
                <w:szCs w:val="24"/>
              </w:rPr>
            </w:pPr>
            <w:r w:rsidRPr="005B3ABD">
              <w:rPr>
                <w:b/>
                <w:i/>
              </w:rPr>
              <w:t>(22 a)</w:t>
            </w:r>
            <w:r w:rsidRPr="005B3ABD">
              <w:rPr>
                <w:b/>
                <w:i/>
              </w:rPr>
              <w:tab/>
              <w:t>In Article 209 (1), subparagraph 3 is replaced by the following:</w:t>
            </w:r>
          </w:p>
        </w:tc>
      </w:tr>
      <w:tr w:rsidR="003B40DD" w:rsidRPr="005B3ABD" w14:paraId="57D6407E" w14:textId="77777777" w:rsidTr="00882D36">
        <w:trPr>
          <w:jc w:val="center"/>
        </w:trPr>
        <w:tc>
          <w:tcPr>
            <w:tcW w:w="4876" w:type="dxa"/>
          </w:tcPr>
          <w:p w14:paraId="48DFF3FB" w14:textId="77777777" w:rsidR="003B40DD" w:rsidRPr="005B3ABD" w:rsidRDefault="003B40DD" w:rsidP="00882D36">
            <w:pPr>
              <w:pStyle w:val="Normal6"/>
              <w:rPr>
                <w:color w:val="0000FA"/>
              </w:rPr>
            </w:pPr>
            <w:r w:rsidRPr="005B3ABD">
              <w:t>This paragraph shall not apply to agreements, decisions and concerted practices which entail an obligation to charge an identical price or by which competition is excluded.</w:t>
            </w:r>
          </w:p>
        </w:tc>
        <w:tc>
          <w:tcPr>
            <w:tcW w:w="4876" w:type="dxa"/>
          </w:tcPr>
          <w:p w14:paraId="529FCF08" w14:textId="77777777" w:rsidR="003B40DD" w:rsidRPr="005B3ABD" w:rsidRDefault="003B40DD" w:rsidP="00882D36">
            <w:pPr>
              <w:pStyle w:val="Normal6"/>
              <w:rPr>
                <w:szCs w:val="24"/>
              </w:rPr>
            </w:pPr>
            <w:r w:rsidRPr="005B3ABD">
              <w:t xml:space="preserve">“This paragraph shall not apply to agreements, decisions and concerted practices </w:t>
            </w:r>
            <w:r w:rsidRPr="005B3ABD">
              <w:rPr>
                <w:b/>
                <w:bCs/>
                <w:i/>
                <w:iCs/>
              </w:rPr>
              <w:t>between different farmers' organisations or between different associations</w:t>
            </w:r>
            <w:r w:rsidRPr="005B3ABD">
              <w:t xml:space="preserve"> which entail an obligation to charge an identical price or by which competition is excluded.”</w:t>
            </w:r>
            <w:r w:rsidRPr="005B3ABD">
              <w:rPr>
                <w:b/>
                <w:i/>
              </w:rPr>
              <w:t xml:space="preserve"> </w:t>
            </w:r>
          </w:p>
        </w:tc>
      </w:tr>
    </w:tbl>
    <w:p w14:paraId="517512C4"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35DBFC0" w14:textId="77777777" w:rsidR="003B40DD" w:rsidRPr="005B3ABD" w:rsidRDefault="003B40DD" w:rsidP="003B40DD">
      <w:pPr>
        <w:pStyle w:val="CrossRef"/>
      </w:pPr>
      <w:r w:rsidRPr="005B3ABD">
        <w:t>(https://eur-lex.europa.eu/legal-content/EN/TXT/?uri=CELEX:02013R1308-20180101)</w:t>
      </w:r>
    </w:p>
    <w:p w14:paraId="0E91D45D"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B8C9C53" w14:textId="77777777" w:rsidR="003B40DD" w:rsidRPr="005B3ABD" w:rsidRDefault="003B40DD" w:rsidP="003B40DD">
      <w:pPr>
        <w:pStyle w:val="Normal12Italic"/>
      </w:pPr>
      <w:r w:rsidRPr="005B3ABD">
        <w:t xml:space="preserve">The ‘Endives’ precedent and the Omnibus represent an important step towards reinforcing farmers’ weight in the supply chain through their farmers’ organisations or farmers' </w:t>
      </w:r>
      <w:r w:rsidRPr="005B3ABD">
        <w:lastRenderedPageBreak/>
        <w:t>organisation associations. It will in future be difficult to understand or justify a prohibition of price clauses in such organisations with identical prices.</w:t>
      </w:r>
    </w:p>
    <w:p w14:paraId="2C55D9E5" w14:textId="77777777" w:rsidR="003B40DD" w:rsidRPr="005B3ABD" w:rsidRDefault="003B40DD" w:rsidP="003B40DD">
      <w:r w:rsidRPr="005B3ABD">
        <w:rPr>
          <w:rStyle w:val="HideTWBExt"/>
          <w:noProof w:val="0"/>
          <w:color w:val="auto"/>
        </w:rPr>
        <w:t>&lt;/Amend&gt;</w:t>
      </w:r>
    </w:p>
    <w:p w14:paraId="61DA343E"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63</w:t>
      </w:r>
      <w:r w:rsidRPr="005B3ABD">
        <w:rPr>
          <w:rStyle w:val="HideTWBExt"/>
          <w:b w:val="0"/>
          <w:noProof w:val="0"/>
          <w:color w:val="auto"/>
        </w:rPr>
        <w:t>&lt;/NumAm&gt;</w:t>
      </w:r>
    </w:p>
    <w:p w14:paraId="0B130F0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5347DF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b (new)</w:t>
      </w:r>
      <w:r w:rsidRPr="005B3ABD">
        <w:rPr>
          <w:rStyle w:val="HideTWBExt"/>
          <w:b w:val="0"/>
          <w:noProof w:val="0"/>
          <w:color w:val="auto"/>
        </w:rPr>
        <w:t>&lt;/Article&gt;</w:t>
      </w:r>
    </w:p>
    <w:p w14:paraId="79D0972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243EF9D" w14:textId="77777777" w:rsidR="003B40DD" w:rsidRPr="005B3ABD" w:rsidRDefault="003B40DD" w:rsidP="003B40DD">
      <w:r w:rsidRPr="005B3ABD">
        <w:rPr>
          <w:rStyle w:val="HideTWBExt"/>
          <w:noProof w:val="0"/>
          <w:color w:val="auto"/>
        </w:rPr>
        <w:t>&lt;Article2&gt;</w:t>
      </w:r>
      <w:r w:rsidRPr="005B3ABD">
        <w:t>Article 219 – title</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C71F56D" w14:textId="77777777" w:rsidTr="00882D36">
        <w:trPr>
          <w:jc w:val="center"/>
        </w:trPr>
        <w:tc>
          <w:tcPr>
            <w:tcW w:w="9752" w:type="dxa"/>
            <w:gridSpan w:val="2"/>
          </w:tcPr>
          <w:p w14:paraId="134C2D49" w14:textId="77777777" w:rsidR="003B40DD" w:rsidRPr="005B3ABD" w:rsidRDefault="003B40DD" w:rsidP="00882D36">
            <w:pPr>
              <w:keepNext/>
            </w:pPr>
          </w:p>
        </w:tc>
      </w:tr>
      <w:tr w:rsidR="003B40DD" w:rsidRPr="005B3ABD" w14:paraId="2F22A00C" w14:textId="77777777" w:rsidTr="00882D36">
        <w:trPr>
          <w:jc w:val="center"/>
        </w:trPr>
        <w:tc>
          <w:tcPr>
            <w:tcW w:w="4876" w:type="dxa"/>
          </w:tcPr>
          <w:p w14:paraId="6AE1415E" w14:textId="77777777" w:rsidR="003B40DD" w:rsidRPr="005B3ABD" w:rsidRDefault="003B40DD" w:rsidP="00882D36">
            <w:pPr>
              <w:pStyle w:val="ColumnHeading"/>
              <w:keepNext/>
              <w:rPr>
                <w:color w:val="0000FA"/>
              </w:rPr>
            </w:pPr>
            <w:r w:rsidRPr="005B3ABD">
              <w:t>This text</w:t>
            </w:r>
          </w:p>
        </w:tc>
        <w:tc>
          <w:tcPr>
            <w:tcW w:w="4876" w:type="dxa"/>
          </w:tcPr>
          <w:p w14:paraId="5E95AD35" w14:textId="77777777" w:rsidR="003B40DD" w:rsidRPr="005B3ABD" w:rsidRDefault="003B40DD" w:rsidP="00882D36">
            <w:pPr>
              <w:pStyle w:val="ColumnHeading"/>
              <w:keepNext/>
              <w:rPr>
                <w:color w:val="0000F5"/>
              </w:rPr>
            </w:pPr>
            <w:r w:rsidRPr="005B3ABD">
              <w:t>Amendment</w:t>
            </w:r>
          </w:p>
        </w:tc>
      </w:tr>
      <w:tr w:rsidR="003B40DD" w:rsidRPr="005B3ABD" w14:paraId="7FBC451E" w14:textId="77777777" w:rsidTr="00882D36">
        <w:trPr>
          <w:jc w:val="center"/>
        </w:trPr>
        <w:tc>
          <w:tcPr>
            <w:tcW w:w="4876" w:type="dxa"/>
          </w:tcPr>
          <w:p w14:paraId="5E62C55F" w14:textId="77777777" w:rsidR="003B40DD" w:rsidRPr="005B3ABD" w:rsidRDefault="003B40DD" w:rsidP="00882D36">
            <w:pPr>
              <w:pStyle w:val="Normal6"/>
              <w:rPr>
                <w:color w:val="0000FA"/>
              </w:rPr>
            </w:pPr>
          </w:p>
        </w:tc>
        <w:tc>
          <w:tcPr>
            <w:tcW w:w="4876" w:type="dxa"/>
          </w:tcPr>
          <w:p w14:paraId="0E3AC5A0" w14:textId="77777777" w:rsidR="003B40DD" w:rsidRPr="005B3ABD" w:rsidRDefault="003B40DD" w:rsidP="00882D36">
            <w:pPr>
              <w:pStyle w:val="Normal6"/>
              <w:rPr>
                <w:color w:val="000005"/>
                <w:szCs w:val="24"/>
              </w:rPr>
            </w:pPr>
            <w:r w:rsidRPr="005B3ABD">
              <w:rPr>
                <w:b/>
                <w:i/>
              </w:rPr>
              <w:t>(26 b)</w:t>
            </w:r>
            <w:r w:rsidRPr="005B3ABD">
              <w:rPr>
                <w:b/>
                <w:i/>
              </w:rPr>
              <w:tab/>
              <w:t>the title of Article 219 is replaced by the following:</w:t>
            </w:r>
          </w:p>
        </w:tc>
      </w:tr>
      <w:tr w:rsidR="003B40DD" w:rsidRPr="005B3ABD" w14:paraId="55A2E631" w14:textId="77777777" w:rsidTr="00882D36">
        <w:trPr>
          <w:jc w:val="center"/>
        </w:trPr>
        <w:tc>
          <w:tcPr>
            <w:tcW w:w="4876" w:type="dxa"/>
          </w:tcPr>
          <w:p w14:paraId="74B4805D" w14:textId="77777777" w:rsidR="003B40DD" w:rsidRPr="005B3ABD" w:rsidRDefault="003B40DD" w:rsidP="00882D36">
            <w:pPr>
              <w:pStyle w:val="Normal6"/>
              <w:rPr>
                <w:color w:val="0000FA"/>
              </w:rPr>
            </w:pPr>
            <w:r w:rsidRPr="005B3ABD">
              <w:t>Measures against market disturbance</w:t>
            </w:r>
          </w:p>
        </w:tc>
        <w:tc>
          <w:tcPr>
            <w:tcW w:w="4876" w:type="dxa"/>
          </w:tcPr>
          <w:p w14:paraId="4BAD625A" w14:textId="77777777" w:rsidR="003B40DD" w:rsidRPr="005B3ABD" w:rsidRDefault="003B40DD" w:rsidP="00882D36">
            <w:pPr>
              <w:pStyle w:val="Normal6"/>
              <w:rPr>
                <w:szCs w:val="24"/>
              </w:rPr>
            </w:pPr>
            <w:r w:rsidRPr="005B3ABD">
              <w:t xml:space="preserve">“Measures against </w:t>
            </w:r>
            <w:r w:rsidRPr="005B3ABD">
              <w:rPr>
                <w:b/>
                <w:bCs/>
                <w:i/>
                <w:iCs/>
              </w:rPr>
              <w:t>and for the management of</w:t>
            </w:r>
            <w:r w:rsidRPr="005B3ABD">
              <w:rPr>
                <w:b/>
                <w:bCs/>
              </w:rPr>
              <w:t xml:space="preserve"> </w:t>
            </w:r>
            <w:r w:rsidRPr="005B3ABD">
              <w:t>market disturbance</w:t>
            </w:r>
          </w:p>
        </w:tc>
      </w:tr>
    </w:tbl>
    <w:p w14:paraId="6565DB4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F9A7888" w14:textId="77777777" w:rsidR="003B40DD" w:rsidRPr="005B3ABD" w:rsidRDefault="003B40DD" w:rsidP="003B40DD">
      <w:pPr>
        <w:pStyle w:val="CrossRef"/>
      </w:pPr>
      <w:r w:rsidRPr="005B3ABD">
        <w:t>(https://eur-lex.europa.eu/legal-content/EN/TXT/?uri=CELEX:02013R1308-20180101)</w:t>
      </w:r>
    </w:p>
    <w:p w14:paraId="340EBA4C"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40DB4A0" w14:textId="77777777" w:rsidR="003B40DD" w:rsidRPr="005B3ABD" w:rsidRDefault="003B40DD" w:rsidP="003B40DD">
      <w:pPr>
        <w:pStyle w:val="Normal12Italic"/>
      </w:pPr>
      <w:r w:rsidRPr="005B3ABD">
        <w:t>Prevention is of course important, but it must also be possible to manage market disturbances when they occur.</w:t>
      </w:r>
    </w:p>
    <w:p w14:paraId="0CD72EC0" w14:textId="77777777" w:rsidR="003B40DD" w:rsidRPr="005B3ABD" w:rsidRDefault="003B40DD" w:rsidP="003B40DD">
      <w:r w:rsidRPr="005B3ABD">
        <w:rPr>
          <w:rStyle w:val="HideTWBExt"/>
          <w:noProof w:val="0"/>
          <w:color w:val="auto"/>
        </w:rPr>
        <w:t>&lt;/Amend&gt;</w:t>
      </w:r>
    </w:p>
    <w:p w14:paraId="772F55F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64</w:t>
      </w:r>
      <w:r w:rsidRPr="005B3ABD">
        <w:rPr>
          <w:rStyle w:val="HideTWBExt"/>
          <w:b w:val="0"/>
          <w:noProof w:val="0"/>
          <w:color w:val="auto"/>
        </w:rPr>
        <w:t>&lt;/NumAm&gt;</w:t>
      </w:r>
    </w:p>
    <w:p w14:paraId="6E014FD3"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36037EE"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c (new)</w:t>
      </w:r>
      <w:r w:rsidRPr="005B3ABD">
        <w:rPr>
          <w:rStyle w:val="HideTWBExt"/>
          <w:b w:val="0"/>
          <w:noProof w:val="0"/>
          <w:color w:val="auto"/>
        </w:rPr>
        <w:t>&lt;/Article&gt;</w:t>
      </w:r>
    </w:p>
    <w:p w14:paraId="5D4E7D0D"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7204287" w14:textId="77777777" w:rsidR="003B40DD" w:rsidRPr="005B3ABD" w:rsidRDefault="003B40DD" w:rsidP="003B40DD">
      <w:r w:rsidRPr="005B3ABD">
        <w:rPr>
          <w:rStyle w:val="HideTWBExt"/>
          <w:noProof w:val="0"/>
          <w:color w:val="auto"/>
        </w:rPr>
        <w:t>&lt;Article2&gt;</w:t>
      </w:r>
      <w:r w:rsidRPr="005B3ABD">
        <w:t>Article 219 – paragraph 1 – subparagraph 1</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1AF7A06" w14:textId="77777777" w:rsidTr="00882D36">
        <w:trPr>
          <w:jc w:val="center"/>
        </w:trPr>
        <w:tc>
          <w:tcPr>
            <w:tcW w:w="9752" w:type="dxa"/>
            <w:gridSpan w:val="2"/>
          </w:tcPr>
          <w:p w14:paraId="1BA4F09D" w14:textId="77777777" w:rsidR="003B40DD" w:rsidRPr="005B3ABD" w:rsidRDefault="003B40DD" w:rsidP="00882D36">
            <w:pPr>
              <w:keepNext/>
            </w:pPr>
          </w:p>
        </w:tc>
      </w:tr>
      <w:tr w:rsidR="003B40DD" w:rsidRPr="005B3ABD" w14:paraId="227E8222" w14:textId="77777777" w:rsidTr="00882D36">
        <w:trPr>
          <w:jc w:val="center"/>
        </w:trPr>
        <w:tc>
          <w:tcPr>
            <w:tcW w:w="4876" w:type="dxa"/>
          </w:tcPr>
          <w:p w14:paraId="63E8FA7D" w14:textId="77777777" w:rsidR="003B40DD" w:rsidRPr="005B3ABD" w:rsidRDefault="003B40DD" w:rsidP="00882D36">
            <w:pPr>
              <w:pStyle w:val="ColumnHeading"/>
              <w:keepNext/>
              <w:rPr>
                <w:color w:val="0000FA"/>
              </w:rPr>
            </w:pPr>
            <w:r w:rsidRPr="005B3ABD">
              <w:t>This text</w:t>
            </w:r>
          </w:p>
        </w:tc>
        <w:tc>
          <w:tcPr>
            <w:tcW w:w="4876" w:type="dxa"/>
          </w:tcPr>
          <w:p w14:paraId="7BDE8418" w14:textId="77777777" w:rsidR="003B40DD" w:rsidRPr="005B3ABD" w:rsidRDefault="003B40DD" w:rsidP="00882D36">
            <w:pPr>
              <w:pStyle w:val="ColumnHeading"/>
              <w:keepNext/>
              <w:rPr>
                <w:color w:val="0000F5"/>
              </w:rPr>
            </w:pPr>
            <w:r w:rsidRPr="005B3ABD">
              <w:t>Amendment</w:t>
            </w:r>
          </w:p>
        </w:tc>
      </w:tr>
      <w:tr w:rsidR="003B40DD" w:rsidRPr="005B3ABD" w14:paraId="2A9BA8E7" w14:textId="77777777" w:rsidTr="00882D36">
        <w:trPr>
          <w:jc w:val="center"/>
        </w:trPr>
        <w:tc>
          <w:tcPr>
            <w:tcW w:w="4876" w:type="dxa"/>
          </w:tcPr>
          <w:p w14:paraId="6A531E1A" w14:textId="77777777" w:rsidR="003B40DD" w:rsidRPr="005B3ABD" w:rsidRDefault="003B40DD" w:rsidP="00882D36">
            <w:pPr>
              <w:pStyle w:val="Normal6"/>
              <w:rPr>
                <w:color w:val="0000FA"/>
              </w:rPr>
            </w:pPr>
          </w:p>
        </w:tc>
        <w:tc>
          <w:tcPr>
            <w:tcW w:w="4876" w:type="dxa"/>
          </w:tcPr>
          <w:p w14:paraId="11B6BDCA" w14:textId="77777777" w:rsidR="003B40DD" w:rsidRPr="005B3ABD" w:rsidRDefault="003B40DD" w:rsidP="00882D36">
            <w:pPr>
              <w:pStyle w:val="Normal6"/>
              <w:rPr>
                <w:color w:val="000005"/>
                <w:szCs w:val="24"/>
              </w:rPr>
            </w:pPr>
            <w:r w:rsidRPr="005B3ABD">
              <w:rPr>
                <w:b/>
                <w:i/>
              </w:rPr>
              <w:t>(26 c)</w:t>
            </w:r>
            <w:r w:rsidRPr="005B3ABD">
              <w:rPr>
                <w:b/>
                <w:i/>
              </w:rPr>
              <w:tab/>
              <w:t>In Article 219(1), the first subparagraph is replaced by the following:</w:t>
            </w:r>
          </w:p>
        </w:tc>
      </w:tr>
      <w:tr w:rsidR="003B40DD" w:rsidRPr="005B3ABD" w14:paraId="3004B7F5" w14:textId="77777777" w:rsidTr="00882D36">
        <w:trPr>
          <w:jc w:val="center"/>
        </w:trPr>
        <w:tc>
          <w:tcPr>
            <w:tcW w:w="4876" w:type="dxa"/>
          </w:tcPr>
          <w:p w14:paraId="30AB7A70" w14:textId="77777777" w:rsidR="003B40DD" w:rsidRPr="005B3ABD" w:rsidRDefault="003B40DD" w:rsidP="00882D36">
            <w:pPr>
              <w:pStyle w:val="Normal6"/>
              <w:rPr>
                <w:color w:val="0000FA"/>
              </w:rPr>
            </w:pPr>
            <w:r w:rsidRPr="005B3ABD">
              <w:t xml:space="preserve">In order to react efficiently and effectively against threats of market disturbance caused by significant price rises or falls on internal or external markets or other events and circumstances significantly disturbing or threatening to disturb the market, where that situation, or its effects on the market, is likely to continue or deteriorate, the </w:t>
            </w:r>
            <w:r w:rsidRPr="005B3ABD">
              <w:lastRenderedPageBreak/>
              <w:t xml:space="preserve">Commission shall be empowered to adopt delegated acts in accordance with Article 227 to take the measures necessary to address that market situation, while respecting any obligations resulting from international agreements concluded in accordance with the TFEU </w:t>
            </w:r>
            <w:r w:rsidRPr="005B3ABD">
              <w:rPr>
                <w:b/>
                <w:bCs/>
                <w:i/>
                <w:iCs/>
              </w:rPr>
              <w:t>and provided that any other measures available under this Regulation appear to be insufficient</w:t>
            </w:r>
            <w:r w:rsidRPr="005B3ABD">
              <w:t>.</w:t>
            </w:r>
          </w:p>
        </w:tc>
        <w:tc>
          <w:tcPr>
            <w:tcW w:w="4876" w:type="dxa"/>
          </w:tcPr>
          <w:p w14:paraId="3D84F055" w14:textId="77777777" w:rsidR="003B40DD" w:rsidRPr="005B3ABD" w:rsidRDefault="003B40DD" w:rsidP="00882D36">
            <w:pPr>
              <w:pStyle w:val="Normal6"/>
              <w:rPr>
                <w:szCs w:val="24"/>
              </w:rPr>
            </w:pPr>
            <w:r w:rsidRPr="005B3ABD">
              <w:lastRenderedPageBreak/>
              <w:t xml:space="preserve">“In order to react efficiently and effectively against threats of market disturbance caused by significant price rises or falls on internal or external markets or other events and circumstances significantly disturbing or threatening to disturb the market, where that situation, or its effects on the market, is likely to continue or deteriorate, the </w:t>
            </w:r>
            <w:r w:rsidRPr="005B3ABD">
              <w:lastRenderedPageBreak/>
              <w:t xml:space="preserve">Commission shall be empowered to adopt delegated acts in accordance with Article 227 to take the measures necessary to address that market situation, while respecting any obligations resulting from international agreements concluded in accordance with the TFEU.” </w:t>
            </w:r>
          </w:p>
        </w:tc>
      </w:tr>
    </w:tbl>
    <w:p w14:paraId="40120BFE"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F62EEE3" w14:textId="77777777" w:rsidR="003B40DD" w:rsidRPr="005B3ABD" w:rsidRDefault="003B40DD" w:rsidP="003B40DD">
      <w:pPr>
        <w:pStyle w:val="CrossRef"/>
      </w:pPr>
      <w:r w:rsidRPr="005B3ABD">
        <w:t>(https://eur-lex.europa.eu/legal-content/EN/TXT/?uri=CELEX:02013R1308-20180101)</w:t>
      </w:r>
    </w:p>
    <w:p w14:paraId="6173253F"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968D73A" w14:textId="77777777" w:rsidR="003B40DD" w:rsidRPr="005B3ABD" w:rsidRDefault="003B40DD" w:rsidP="003B40DD">
      <w:pPr>
        <w:pStyle w:val="Normal12Italic"/>
      </w:pPr>
      <w:r w:rsidRPr="005B3ABD">
        <w:t>This article gives considerable powers to the Commission to intervene in crises. These powers are not described in more detail, but constitute a ‘carte blanche’. This article served as basis for the voluntary reduction aid for milk production in 2016. Deleting the end of the first paragraph of (1) will remove a poorly defined condition that prevents the use of this article together with other measures.</w:t>
      </w:r>
    </w:p>
    <w:p w14:paraId="661590C7" w14:textId="77777777" w:rsidR="003B40DD" w:rsidRPr="005B3ABD" w:rsidRDefault="003B40DD" w:rsidP="003B40DD">
      <w:r w:rsidRPr="005B3ABD">
        <w:rPr>
          <w:rStyle w:val="HideTWBExt"/>
          <w:noProof w:val="0"/>
          <w:color w:val="auto"/>
        </w:rPr>
        <w:t>&lt;/Amend&gt;</w:t>
      </w:r>
    </w:p>
    <w:p w14:paraId="35BA5FE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65</w:t>
      </w:r>
      <w:r w:rsidRPr="005B3ABD">
        <w:rPr>
          <w:rStyle w:val="HideTWBExt"/>
          <w:b w:val="0"/>
          <w:noProof w:val="0"/>
          <w:color w:val="auto"/>
        </w:rPr>
        <w:t>&lt;/NumAm&gt;</w:t>
      </w:r>
    </w:p>
    <w:p w14:paraId="49FE419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A261BF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d (new)</w:t>
      </w:r>
      <w:r w:rsidRPr="005B3ABD">
        <w:rPr>
          <w:rStyle w:val="HideTWBExt"/>
          <w:b w:val="0"/>
          <w:noProof w:val="0"/>
          <w:color w:val="auto"/>
        </w:rPr>
        <w:t>&lt;/Article&gt;</w:t>
      </w:r>
    </w:p>
    <w:p w14:paraId="630A8BD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6A4C101" w14:textId="77777777" w:rsidR="003B40DD" w:rsidRPr="005B3ABD" w:rsidRDefault="003B40DD" w:rsidP="003B40DD">
      <w:r w:rsidRPr="005B3ABD">
        <w:rPr>
          <w:rStyle w:val="HideTWBExt"/>
          <w:noProof w:val="0"/>
          <w:color w:val="auto"/>
        </w:rPr>
        <w:t>&lt;Article2&gt;</w:t>
      </w:r>
      <w:r w:rsidRPr="005B3ABD">
        <w:t>Article 219 – paragraph 1 – subparagraph 4</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4FC8D31" w14:textId="77777777" w:rsidTr="00882D36">
        <w:trPr>
          <w:jc w:val="center"/>
        </w:trPr>
        <w:tc>
          <w:tcPr>
            <w:tcW w:w="9752" w:type="dxa"/>
            <w:gridSpan w:val="2"/>
          </w:tcPr>
          <w:p w14:paraId="198D18C9" w14:textId="77777777" w:rsidR="003B40DD" w:rsidRPr="005B3ABD" w:rsidRDefault="003B40DD" w:rsidP="00882D36">
            <w:pPr>
              <w:keepNext/>
            </w:pPr>
          </w:p>
        </w:tc>
      </w:tr>
      <w:tr w:rsidR="003B40DD" w:rsidRPr="005B3ABD" w14:paraId="5CB76F74" w14:textId="77777777" w:rsidTr="00882D36">
        <w:trPr>
          <w:jc w:val="center"/>
        </w:trPr>
        <w:tc>
          <w:tcPr>
            <w:tcW w:w="4876" w:type="dxa"/>
          </w:tcPr>
          <w:p w14:paraId="77C17726" w14:textId="77777777" w:rsidR="003B40DD" w:rsidRPr="005B3ABD" w:rsidRDefault="003B40DD" w:rsidP="00882D36">
            <w:pPr>
              <w:pStyle w:val="ColumnHeading"/>
              <w:keepNext/>
              <w:rPr>
                <w:color w:val="0000FA"/>
              </w:rPr>
            </w:pPr>
            <w:r w:rsidRPr="005B3ABD">
              <w:t>This text</w:t>
            </w:r>
          </w:p>
        </w:tc>
        <w:tc>
          <w:tcPr>
            <w:tcW w:w="4876" w:type="dxa"/>
          </w:tcPr>
          <w:p w14:paraId="5404F1A7" w14:textId="77777777" w:rsidR="003B40DD" w:rsidRPr="005B3ABD" w:rsidRDefault="003B40DD" w:rsidP="00882D36">
            <w:pPr>
              <w:pStyle w:val="ColumnHeading"/>
              <w:keepNext/>
              <w:rPr>
                <w:color w:val="0000F5"/>
              </w:rPr>
            </w:pPr>
            <w:r w:rsidRPr="005B3ABD">
              <w:t>Amendment</w:t>
            </w:r>
          </w:p>
        </w:tc>
      </w:tr>
      <w:tr w:rsidR="003B40DD" w:rsidRPr="005B3ABD" w14:paraId="2336146A" w14:textId="77777777" w:rsidTr="00882D36">
        <w:trPr>
          <w:jc w:val="center"/>
        </w:trPr>
        <w:tc>
          <w:tcPr>
            <w:tcW w:w="4876" w:type="dxa"/>
          </w:tcPr>
          <w:p w14:paraId="043BA28A" w14:textId="77777777" w:rsidR="003B40DD" w:rsidRPr="005B3ABD" w:rsidRDefault="003B40DD" w:rsidP="00882D36">
            <w:pPr>
              <w:pStyle w:val="Normal6"/>
              <w:rPr>
                <w:color w:val="0000FA"/>
              </w:rPr>
            </w:pPr>
          </w:p>
        </w:tc>
        <w:tc>
          <w:tcPr>
            <w:tcW w:w="4876" w:type="dxa"/>
          </w:tcPr>
          <w:p w14:paraId="7ED74319" w14:textId="77777777" w:rsidR="003B40DD" w:rsidRPr="005B3ABD" w:rsidRDefault="003B40DD" w:rsidP="00882D36">
            <w:pPr>
              <w:pStyle w:val="Normal6"/>
              <w:rPr>
                <w:color w:val="000005"/>
                <w:szCs w:val="24"/>
              </w:rPr>
            </w:pPr>
            <w:r w:rsidRPr="005B3ABD">
              <w:rPr>
                <w:b/>
                <w:i/>
              </w:rPr>
              <w:t>(26 d)</w:t>
            </w:r>
            <w:r w:rsidRPr="005B3ABD">
              <w:rPr>
                <w:b/>
                <w:i/>
              </w:rPr>
              <w:tab/>
              <w:t>In Article 219(1), the fourth subparagraph is replaced by the following:</w:t>
            </w:r>
          </w:p>
        </w:tc>
      </w:tr>
      <w:tr w:rsidR="003B40DD" w:rsidRPr="005B3ABD" w14:paraId="1BE8B1E4" w14:textId="77777777" w:rsidTr="00882D36">
        <w:trPr>
          <w:jc w:val="center"/>
        </w:trPr>
        <w:tc>
          <w:tcPr>
            <w:tcW w:w="4876" w:type="dxa"/>
          </w:tcPr>
          <w:p w14:paraId="6CB9E392" w14:textId="77777777" w:rsidR="003B40DD" w:rsidRPr="005B3ABD" w:rsidRDefault="003B40DD" w:rsidP="00882D36">
            <w:pPr>
              <w:pStyle w:val="Normal6"/>
              <w:rPr>
                <w:color w:val="0000FA"/>
              </w:rPr>
            </w:pPr>
            <w:r w:rsidRPr="005B3ABD">
              <w:t xml:space="preserve">Such measures may to the extent and for the time necessary to address the market disturbance or threat thereof extend or modify the scope, duration or other aspects of other measures provided for under this Regulation, </w:t>
            </w:r>
            <w:r w:rsidRPr="005B3ABD">
              <w:rPr>
                <w:b/>
                <w:bCs/>
                <w:i/>
                <w:iCs/>
              </w:rPr>
              <w:t>or provide for export refunds, or suspend</w:t>
            </w:r>
            <w:r w:rsidRPr="005B3ABD">
              <w:t xml:space="preserve"> import duties in whole or in part including for certain quantities or periods as necessary.</w:t>
            </w:r>
          </w:p>
        </w:tc>
        <w:tc>
          <w:tcPr>
            <w:tcW w:w="4876" w:type="dxa"/>
          </w:tcPr>
          <w:p w14:paraId="325C59AB" w14:textId="77777777" w:rsidR="003B40DD" w:rsidRPr="005B3ABD" w:rsidRDefault="003B40DD" w:rsidP="00882D36">
            <w:pPr>
              <w:pStyle w:val="Normal6"/>
              <w:rPr>
                <w:szCs w:val="24"/>
              </w:rPr>
            </w:pPr>
            <w:r w:rsidRPr="005B3ABD">
              <w:t xml:space="preserve">Such measures may to the extent and for the time necessary to address the market disturbance or threat thereof extend or modify the scope, duration or other aspects of other measures provided for under this Regulation, </w:t>
            </w:r>
            <w:r w:rsidRPr="005B3ABD">
              <w:rPr>
                <w:b/>
                <w:bCs/>
                <w:i/>
                <w:iCs/>
              </w:rPr>
              <w:t>or reinforce import controls, or downwardly or upwardly adjust</w:t>
            </w:r>
            <w:r w:rsidRPr="005B3ABD">
              <w:rPr>
                <w:b/>
                <w:bCs/>
              </w:rPr>
              <w:t xml:space="preserve"> </w:t>
            </w:r>
            <w:r w:rsidRPr="005B3ABD">
              <w:t xml:space="preserve">import duties in whole or in part including for certain quantities or periods as necessary. </w:t>
            </w:r>
            <w:r w:rsidRPr="005B3ABD">
              <w:rPr>
                <w:b/>
                <w:i/>
              </w:rPr>
              <w:t>They may also concern the adaptation of the entry price scheme for fruit and vegetables through consultation with third countries that export to the Union.”</w:t>
            </w:r>
            <w:r w:rsidRPr="005B3ABD">
              <w:t xml:space="preserve"> </w:t>
            </w:r>
          </w:p>
        </w:tc>
      </w:tr>
    </w:tbl>
    <w:p w14:paraId="48FD3738"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53C2C72" w14:textId="77777777" w:rsidR="003B40DD" w:rsidRPr="005B3ABD" w:rsidRDefault="003B40DD" w:rsidP="003B40DD">
      <w:pPr>
        <w:pStyle w:val="CrossRef"/>
      </w:pPr>
      <w:r w:rsidRPr="005B3ABD">
        <w:t>(https://eur-lex.europa.eu/legal-content/EN/TXT/?uri=CELEX:02013R1308-20180101)</w:t>
      </w:r>
    </w:p>
    <w:p w14:paraId="6081E7B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2A3D45C" w14:textId="77777777" w:rsidR="003B40DD" w:rsidRPr="005B3ABD" w:rsidRDefault="003B40DD" w:rsidP="003B40DD">
      <w:pPr>
        <w:pStyle w:val="Normal12Italic"/>
      </w:pPr>
      <w:r w:rsidRPr="005B3ABD">
        <w:t>Since the Commission has deleted Articles 196 to 204 on export subsidies, the reference to these in Article 219 must also be deleted. Consequently, to maintain the balance between measures to be taken in the event of imbalances that push internal prices up or down, it would be appropriate to refer to the possibility to adjust duties up- or downward and not merely to suspend them, and then to reinforce import controls.</w:t>
      </w:r>
    </w:p>
    <w:p w14:paraId="1216CF0D" w14:textId="77777777" w:rsidR="003B40DD" w:rsidRPr="005B3ABD" w:rsidRDefault="003B40DD" w:rsidP="003B40DD">
      <w:r w:rsidRPr="005B3ABD">
        <w:rPr>
          <w:rStyle w:val="HideTWBExt"/>
          <w:noProof w:val="0"/>
          <w:color w:val="auto"/>
        </w:rPr>
        <w:t>&lt;/Amend&gt;</w:t>
      </w:r>
    </w:p>
    <w:p w14:paraId="3E9E735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66</w:t>
      </w:r>
      <w:r w:rsidRPr="005B3ABD">
        <w:rPr>
          <w:rStyle w:val="HideTWBExt"/>
          <w:b w:val="0"/>
          <w:noProof w:val="0"/>
          <w:color w:val="auto"/>
        </w:rPr>
        <w:t>&lt;/NumAm&gt;</w:t>
      </w:r>
    </w:p>
    <w:p w14:paraId="5FBB0E9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62BB616"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e (new)</w:t>
      </w:r>
      <w:r w:rsidRPr="005B3ABD">
        <w:rPr>
          <w:rStyle w:val="HideTWBExt"/>
          <w:b w:val="0"/>
          <w:noProof w:val="0"/>
          <w:color w:val="auto"/>
        </w:rPr>
        <w:t>&lt;/Article&gt;</w:t>
      </w:r>
    </w:p>
    <w:p w14:paraId="75F52DCD"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9EAFA12" w14:textId="77777777" w:rsidR="003B40DD" w:rsidRPr="005B3ABD" w:rsidRDefault="003B40DD" w:rsidP="003B40DD">
      <w:r w:rsidRPr="005B3ABD">
        <w:rPr>
          <w:rStyle w:val="HideTWBExt"/>
          <w:noProof w:val="0"/>
          <w:color w:val="auto"/>
        </w:rPr>
        <w:t>&lt;Article2&gt;</w:t>
      </w:r>
      <w:r w:rsidRPr="005B3ABD">
        <w:t>Recital 220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BE0DB25" w14:textId="77777777" w:rsidTr="00882D36">
        <w:trPr>
          <w:jc w:val="center"/>
        </w:trPr>
        <w:tc>
          <w:tcPr>
            <w:tcW w:w="9752" w:type="dxa"/>
            <w:gridSpan w:val="2"/>
          </w:tcPr>
          <w:p w14:paraId="26887442" w14:textId="77777777" w:rsidR="003B40DD" w:rsidRPr="005B3ABD" w:rsidRDefault="003B40DD" w:rsidP="00882D36">
            <w:pPr>
              <w:keepNext/>
            </w:pPr>
          </w:p>
        </w:tc>
      </w:tr>
      <w:tr w:rsidR="003B40DD" w:rsidRPr="005B3ABD" w14:paraId="17B80AA4" w14:textId="77777777" w:rsidTr="00882D36">
        <w:trPr>
          <w:jc w:val="center"/>
        </w:trPr>
        <w:tc>
          <w:tcPr>
            <w:tcW w:w="4876" w:type="dxa"/>
          </w:tcPr>
          <w:p w14:paraId="5C440C1B" w14:textId="77777777" w:rsidR="003B40DD" w:rsidRPr="005B3ABD" w:rsidRDefault="003B40DD" w:rsidP="00882D36">
            <w:pPr>
              <w:pStyle w:val="ColumnHeading"/>
              <w:keepNext/>
              <w:rPr>
                <w:color w:val="0000FA"/>
              </w:rPr>
            </w:pPr>
            <w:r w:rsidRPr="005B3ABD">
              <w:t>Text proposed by the Commission</w:t>
            </w:r>
          </w:p>
        </w:tc>
        <w:tc>
          <w:tcPr>
            <w:tcW w:w="4876" w:type="dxa"/>
          </w:tcPr>
          <w:p w14:paraId="399156B4" w14:textId="77777777" w:rsidR="003B40DD" w:rsidRPr="005B3ABD" w:rsidRDefault="003B40DD" w:rsidP="00882D36">
            <w:pPr>
              <w:pStyle w:val="ColumnHeading"/>
              <w:keepNext/>
              <w:rPr>
                <w:color w:val="0000F5"/>
              </w:rPr>
            </w:pPr>
            <w:r w:rsidRPr="005B3ABD">
              <w:t>Amendment</w:t>
            </w:r>
          </w:p>
        </w:tc>
      </w:tr>
      <w:tr w:rsidR="003B40DD" w:rsidRPr="005B3ABD" w14:paraId="6FA117E8" w14:textId="77777777" w:rsidTr="00882D36">
        <w:trPr>
          <w:jc w:val="center"/>
        </w:trPr>
        <w:tc>
          <w:tcPr>
            <w:tcW w:w="4876" w:type="dxa"/>
          </w:tcPr>
          <w:p w14:paraId="0A7CE17D" w14:textId="77777777" w:rsidR="003B40DD" w:rsidRPr="005B3ABD" w:rsidRDefault="003B40DD" w:rsidP="00882D36">
            <w:pPr>
              <w:pStyle w:val="Normal6"/>
              <w:rPr>
                <w:color w:val="0000FA"/>
              </w:rPr>
            </w:pPr>
          </w:p>
        </w:tc>
        <w:tc>
          <w:tcPr>
            <w:tcW w:w="4876" w:type="dxa"/>
          </w:tcPr>
          <w:p w14:paraId="73E33CD1" w14:textId="77777777" w:rsidR="003B40DD" w:rsidRPr="005B3ABD" w:rsidRDefault="003B40DD" w:rsidP="00882D36">
            <w:pPr>
              <w:pStyle w:val="Normal6"/>
              <w:rPr>
                <w:color w:val="000005"/>
                <w:szCs w:val="24"/>
              </w:rPr>
            </w:pPr>
            <w:r w:rsidRPr="005B3ABD">
              <w:rPr>
                <w:b/>
                <w:i/>
              </w:rPr>
              <w:t>(26 e)</w:t>
            </w:r>
            <w:r w:rsidRPr="005B3ABD">
              <w:rPr>
                <w:b/>
                <w:i/>
              </w:rPr>
              <w:tab/>
              <w:t>The following Article shall be inserted:</w:t>
            </w:r>
          </w:p>
        </w:tc>
      </w:tr>
      <w:tr w:rsidR="003B40DD" w:rsidRPr="005B3ABD" w14:paraId="33547949" w14:textId="77777777" w:rsidTr="00882D36">
        <w:trPr>
          <w:jc w:val="center"/>
        </w:trPr>
        <w:tc>
          <w:tcPr>
            <w:tcW w:w="4876" w:type="dxa"/>
          </w:tcPr>
          <w:p w14:paraId="121F1466" w14:textId="77777777" w:rsidR="003B40DD" w:rsidRPr="005B3ABD" w:rsidRDefault="003B40DD" w:rsidP="00882D36">
            <w:pPr>
              <w:pStyle w:val="Normal6"/>
              <w:rPr>
                <w:color w:val="0000FA"/>
              </w:rPr>
            </w:pPr>
          </w:p>
        </w:tc>
        <w:tc>
          <w:tcPr>
            <w:tcW w:w="4876" w:type="dxa"/>
          </w:tcPr>
          <w:p w14:paraId="4D5E3CEF" w14:textId="77777777" w:rsidR="003B40DD" w:rsidRPr="005B3ABD" w:rsidRDefault="003B40DD" w:rsidP="00882D36">
            <w:pPr>
              <w:pStyle w:val="Normal6"/>
              <w:rPr>
                <w:color w:val="000005"/>
                <w:szCs w:val="24"/>
              </w:rPr>
            </w:pPr>
            <w:r w:rsidRPr="005B3ABD">
              <w:rPr>
                <w:b/>
                <w:i/>
              </w:rPr>
              <w:t>Article 220 a</w:t>
            </w:r>
          </w:p>
        </w:tc>
      </w:tr>
      <w:tr w:rsidR="003B40DD" w:rsidRPr="005B3ABD" w14:paraId="0D155405" w14:textId="77777777" w:rsidTr="00882D36">
        <w:trPr>
          <w:jc w:val="center"/>
        </w:trPr>
        <w:tc>
          <w:tcPr>
            <w:tcW w:w="4876" w:type="dxa"/>
          </w:tcPr>
          <w:p w14:paraId="4ABDC4E7" w14:textId="77777777" w:rsidR="003B40DD" w:rsidRPr="005B3ABD" w:rsidRDefault="003B40DD" w:rsidP="00882D36">
            <w:pPr>
              <w:pStyle w:val="Normal6"/>
              <w:rPr>
                <w:color w:val="0000FA"/>
              </w:rPr>
            </w:pPr>
          </w:p>
        </w:tc>
        <w:tc>
          <w:tcPr>
            <w:tcW w:w="4876" w:type="dxa"/>
          </w:tcPr>
          <w:p w14:paraId="6D37B485" w14:textId="77777777" w:rsidR="003B40DD" w:rsidRPr="005B3ABD" w:rsidRDefault="003B40DD" w:rsidP="00882D36">
            <w:pPr>
              <w:pStyle w:val="Normal6"/>
              <w:rPr>
                <w:color w:val="000005"/>
                <w:szCs w:val="24"/>
              </w:rPr>
            </w:pPr>
            <w:r w:rsidRPr="005B3ABD">
              <w:rPr>
                <w:b/>
                <w:i/>
              </w:rPr>
              <w:t>Production curbing system</w:t>
            </w:r>
          </w:p>
        </w:tc>
      </w:tr>
      <w:tr w:rsidR="003B40DD" w:rsidRPr="005B3ABD" w14:paraId="2FEB6E25" w14:textId="77777777" w:rsidTr="00882D36">
        <w:trPr>
          <w:jc w:val="center"/>
        </w:trPr>
        <w:tc>
          <w:tcPr>
            <w:tcW w:w="4876" w:type="dxa"/>
          </w:tcPr>
          <w:p w14:paraId="0645077B" w14:textId="77777777" w:rsidR="003B40DD" w:rsidRPr="005B3ABD" w:rsidRDefault="003B40DD" w:rsidP="00882D36">
            <w:pPr>
              <w:pStyle w:val="Normal6"/>
              <w:rPr>
                <w:color w:val="0000FA"/>
              </w:rPr>
            </w:pPr>
          </w:p>
        </w:tc>
        <w:tc>
          <w:tcPr>
            <w:tcW w:w="4876" w:type="dxa"/>
          </w:tcPr>
          <w:p w14:paraId="213CADFC" w14:textId="77777777" w:rsidR="003B40DD" w:rsidRPr="005B3ABD" w:rsidRDefault="003B40DD" w:rsidP="00882D36">
            <w:pPr>
              <w:pStyle w:val="Normal6"/>
              <w:rPr>
                <w:color w:val="000005"/>
                <w:szCs w:val="24"/>
              </w:rPr>
            </w:pPr>
            <w:r w:rsidRPr="005B3ABD">
              <w:rPr>
                <w:b/>
                <w:i/>
              </w:rPr>
              <w:t>1. In the event of severe imbalances in the market and provided that production techniques allow it, the Commission shall be empowered to adopt delegated acts in accordance with Article 227 in view of granting aid to producers in a sector referred to in Article 1(2), who for a defined period shall reduce their delivery in comparison to the same period of the previous year.</w:t>
            </w:r>
          </w:p>
        </w:tc>
      </w:tr>
      <w:tr w:rsidR="003B40DD" w:rsidRPr="005B3ABD" w14:paraId="07126D4F" w14:textId="77777777" w:rsidTr="00882D36">
        <w:trPr>
          <w:jc w:val="center"/>
        </w:trPr>
        <w:tc>
          <w:tcPr>
            <w:tcW w:w="4876" w:type="dxa"/>
          </w:tcPr>
          <w:p w14:paraId="75ED53DC" w14:textId="77777777" w:rsidR="003B40DD" w:rsidRPr="005B3ABD" w:rsidRDefault="003B40DD" w:rsidP="00882D36">
            <w:pPr>
              <w:pStyle w:val="Normal6"/>
              <w:rPr>
                <w:color w:val="0000FA"/>
              </w:rPr>
            </w:pPr>
          </w:p>
        </w:tc>
        <w:tc>
          <w:tcPr>
            <w:tcW w:w="4876" w:type="dxa"/>
          </w:tcPr>
          <w:p w14:paraId="2CB717A2" w14:textId="77777777" w:rsidR="003B40DD" w:rsidRPr="005B3ABD" w:rsidRDefault="003B40DD" w:rsidP="00882D36">
            <w:pPr>
              <w:pStyle w:val="Normal6"/>
              <w:rPr>
                <w:color w:val="000005"/>
                <w:szCs w:val="24"/>
              </w:rPr>
            </w:pPr>
            <w:r w:rsidRPr="005B3ABD">
              <w:rPr>
                <w:b/>
                <w:i/>
              </w:rPr>
              <w:t>2. The aid shall be granted on the principle of an application by producers submitted within the Member State in which the producers are established, using the method laid down by the Member State concerned.</w:t>
            </w:r>
          </w:p>
        </w:tc>
      </w:tr>
      <w:tr w:rsidR="003B40DD" w:rsidRPr="005B3ABD" w14:paraId="2FD2C721" w14:textId="77777777" w:rsidTr="00882D36">
        <w:trPr>
          <w:jc w:val="center"/>
        </w:trPr>
        <w:tc>
          <w:tcPr>
            <w:tcW w:w="4876" w:type="dxa"/>
          </w:tcPr>
          <w:p w14:paraId="68F81FCD" w14:textId="77777777" w:rsidR="003B40DD" w:rsidRPr="005B3ABD" w:rsidRDefault="003B40DD" w:rsidP="00882D36">
            <w:pPr>
              <w:pStyle w:val="Normal6"/>
              <w:rPr>
                <w:color w:val="0000FA"/>
              </w:rPr>
            </w:pPr>
          </w:p>
        </w:tc>
        <w:tc>
          <w:tcPr>
            <w:tcW w:w="4876" w:type="dxa"/>
          </w:tcPr>
          <w:p w14:paraId="11E8ECD8" w14:textId="77777777" w:rsidR="003B40DD" w:rsidRPr="005B3ABD" w:rsidRDefault="003B40DD" w:rsidP="00882D36">
            <w:pPr>
              <w:pStyle w:val="Normal6"/>
              <w:rPr>
                <w:color w:val="000005"/>
                <w:szCs w:val="24"/>
              </w:rPr>
            </w:pPr>
            <w:r w:rsidRPr="005B3ABD">
              <w:rPr>
                <w:b/>
                <w:i/>
              </w:rPr>
              <w:t xml:space="preserve">Member States may decide that applications for reduction aid are to be submitted on behalf of producers by recognised organisations or by cooperatives established in accordance </w:t>
            </w:r>
            <w:r w:rsidRPr="005B3ABD">
              <w:rPr>
                <w:b/>
                <w:i/>
              </w:rPr>
              <w:lastRenderedPageBreak/>
              <w:t>with national law. In this case, Member States shall ensure that the aid is fully transmitted to producers who have effectively reduced their delivery.</w:t>
            </w:r>
          </w:p>
        </w:tc>
      </w:tr>
      <w:tr w:rsidR="003B40DD" w:rsidRPr="005B3ABD" w14:paraId="6085CEE0" w14:textId="77777777" w:rsidTr="00882D36">
        <w:trPr>
          <w:jc w:val="center"/>
        </w:trPr>
        <w:tc>
          <w:tcPr>
            <w:tcW w:w="4876" w:type="dxa"/>
          </w:tcPr>
          <w:p w14:paraId="442DFA5B" w14:textId="77777777" w:rsidR="003B40DD" w:rsidRPr="005B3ABD" w:rsidRDefault="003B40DD" w:rsidP="00882D36">
            <w:pPr>
              <w:pStyle w:val="Normal6"/>
              <w:rPr>
                <w:color w:val="0000FA"/>
              </w:rPr>
            </w:pPr>
          </w:p>
        </w:tc>
        <w:tc>
          <w:tcPr>
            <w:tcW w:w="4876" w:type="dxa"/>
          </w:tcPr>
          <w:p w14:paraId="32EA45D5" w14:textId="77777777" w:rsidR="003B40DD" w:rsidRPr="005B3ABD" w:rsidRDefault="003B40DD" w:rsidP="00882D36">
            <w:pPr>
              <w:pStyle w:val="Normal6"/>
              <w:rPr>
                <w:color w:val="000005"/>
                <w:szCs w:val="24"/>
              </w:rPr>
            </w:pPr>
            <w:r w:rsidRPr="005B3ABD">
              <w:rPr>
                <w:b/>
                <w:i/>
              </w:rPr>
              <w:t>3. If participation is insufficient to restore balance to the market, the Commission shall have the power to make the reduction of production obligatory for all producers.</w:t>
            </w:r>
          </w:p>
        </w:tc>
      </w:tr>
      <w:tr w:rsidR="003B40DD" w:rsidRPr="005B3ABD" w14:paraId="351776D3" w14:textId="77777777" w:rsidTr="00882D36">
        <w:trPr>
          <w:jc w:val="center"/>
        </w:trPr>
        <w:tc>
          <w:tcPr>
            <w:tcW w:w="4876" w:type="dxa"/>
          </w:tcPr>
          <w:p w14:paraId="085E40B1" w14:textId="77777777" w:rsidR="003B40DD" w:rsidRPr="005B3ABD" w:rsidRDefault="003B40DD" w:rsidP="00882D36">
            <w:pPr>
              <w:pStyle w:val="Normal6"/>
              <w:rPr>
                <w:color w:val="0000FA"/>
              </w:rPr>
            </w:pPr>
          </w:p>
        </w:tc>
        <w:tc>
          <w:tcPr>
            <w:tcW w:w="4876" w:type="dxa"/>
          </w:tcPr>
          <w:p w14:paraId="22E48D8F" w14:textId="77777777" w:rsidR="003B40DD" w:rsidRPr="005B3ABD" w:rsidRDefault="003B40DD" w:rsidP="00882D36">
            <w:pPr>
              <w:pStyle w:val="Normal6"/>
              <w:rPr>
                <w:color w:val="000005"/>
                <w:szCs w:val="24"/>
              </w:rPr>
            </w:pPr>
            <w:r w:rsidRPr="005B3ABD">
              <w:rPr>
                <w:b/>
                <w:i/>
              </w:rPr>
              <w:t>4. In order to ensure that this scheme is implemented effectively and appropriately, the Commission is empowered to adopt, in accordance with Article 227, delegated acts establishing:</w:t>
            </w:r>
          </w:p>
        </w:tc>
      </w:tr>
      <w:tr w:rsidR="003B40DD" w:rsidRPr="005B3ABD" w14:paraId="2418E494" w14:textId="77777777" w:rsidTr="00882D36">
        <w:trPr>
          <w:jc w:val="center"/>
        </w:trPr>
        <w:tc>
          <w:tcPr>
            <w:tcW w:w="4876" w:type="dxa"/>
          </w:tcPr>
          <w:p w14:paraId="60364841" w14:textId="77777777" w:rsidR="003B40DD" w:rsidRPr="005B3ABD" w:rsidRDefault="003B40DD" w:rsidP="00882D36">
            <w:pPr>
              <w:pStyle w:val="Normal6"/>
              <w:rPr>
                <w:color w:val="0000FA"/>
              </w:rPr>
            </w:pPr>
          </w:p>
        </w:tc>
        <w:tc>
          <w:tcPr>
            <w:tcW w:w="4876" w:type="dxa"/>
          </w:tcPr>
          <w:p w14:paraId="1D7ECA05" w14:textId="77777777" w:rsidR="003B40DD" w:rsidRPr="005B3ABD" w:rsidRDefault="003B40DD" w:rsidP="00882D36">
            <w:pPr>
              <w:pStyle w:val="Normal6"/>
              <w:rPr>
                <w:color w:val="000005"/>
                <w:szCs w:val="24"/>
              </w:rPr>
            </w:pPr>
            <w:r w:rsidRPr="005B3ABD">
              <w:rPr>
                <w:b/>
                <w:i/>
              </w:rPr>
              <w:t>(a) the maximum total volume or quantity of delivery to be reduced at Union level in the framework of the reduction scheme;</w:t>
            </w:r>
          </w:p>
        </w:tc>
      </w:tr>
      <w:tr w:rsidR="003B40DD" w:rsidRPr="005B3ABD" w14:paraId="62ECE76D" w14:textId="77777777" w:rsidTr="00882D36">
        <w:trPr>
          <w:jc w:val="center"/>
        </w:trPr>
        <w:tc>
          <w:tcPr>
            <w:tcW w:w="4876" w:type="dxa"/>
          </w:tcPr>
          <w:p w14:paraId="6A05D589" w14:textId="77777777" w:rsidR="003B40DD" w:rsidRPr="005B3ABD" w:rsidRDefault="003B40DD" w:rsidP="00882D36">
            <w:pPr>
              <w:pStyle w:val="Normal6"/>
              <w:rPr>
                <w:color w:val="0000FA"/>
              </w:rPr>
            </w:pPr>
          </w:p>
        </w:tc>
        <w:tc>
          <w:tcPr>
            <w:tcW w:w="4876" w:type="dxa"/>
          </w:tcPr>
          <w:p w14:paraId="7CDDC574" w14:textId="77777777" w:rsidR="003B40DD" w:rsidRPr="005B3ABD" w:rsidRDefault="003B40DD" w:rsidP="00882D36">
            <w:pPr>
              <w:pStyle w:val="Normal6"/>
              <w:rPr>
                <w:color w:val="000005"/>
                <w:szCs w:val="24"/>
              </w:rPr>
            </w:pPr>
            <w:r w:rsidRPr="005B3ABD">
              <w:rPr>
                <w:b/>
                <w:i/>
              </w:rPr>
              <w:t>(b) the duration of the reduction period and, if necessary, its prolongation;</w:t>
            </w:r>
          </w:p>
        </w:tc>
      </w:tr>
      <w:tr w:rsidR="003B40DD" w:rsidRPr="005B3ABD" w14:paraId="080CEC15" w14:textId="77777777" w:rsidTr="00882D36">
        <w:trPr>
          <w:jc w:val="center"/>
        </w:trPr>
        <w:tc>
          <w:tcPr>
            <w:tcW w:w="4876" w:type="dxa"/>
          </w:tcPr>
          <w:p w14:paraId="35773D34" w14:textId="77777777" w:rsidR="003B40DD" w:rsidRPr="005B3ABD" w:rsidRDefault="003B40DD" w:rsidP="00882D36">
            <w:pPr>
              <w:pStyle w:val="Normal6"/>
              <w:rPr>
                <w:color w:val="0000FA"/>
              </w:rPr>
            </w:pPr>
          </w:p>
        </w:tc>
        <w:tc>
          <w:tcPr>
            <w:tcW w:w="4876" w:type="dxa"/>
          </w:tcPr>
          <w:p w14:paraId="3A73D05A" w14:textId="77777777" w:rsidR="003B40DD" w:rsidRPr="005B3ABD" w:rsidRDefault="003B40DD" w:rsidP="00882D36">
            <w:pPr>
              <w:pStyle w:val="Normal6"/>
              <w:rPr>
                <w:color w:val="000005"/>
                <w:szCs w:val="24"/>
              </w:rPr>
            </w:pPr>
            <w:r w:rsidRPr="005B3ABD">
              <w:rPr>
                <w:b/>
                <w:i/>
              </w:rPr>
              <w:t>(c) the amount of aid in accordance with the reduced volume or quantity and its financing arrangements;</w:t>
            </w:r>
          </w:p>
        </w:tc>
      </w:tr>
      <w:tr w:rsidR="003B40DD" w:rsidRPr="005B3ABD" w14:paraId="7582F35A" w14:textId="77777777" w:rsidTr="00882D36">
        <w:trPr>
          <w:jc w:val="center"/>
        </w:trPr>
        <w:tc>
          <w:tcPr>
            <w:tcW w:w="4876" w:type="dxa"/>
          </w:tcPr>
          <w:p w14:paraId="72C99DDE" w14:textId="77777777" w:rsidR="003B40DD" w:rsidRPr="005B3ABD" w:rsidRDefault="003B40DD" w:rsidP="00882D36">
            <w:pPr>
              <w:pStyle w:val="Normal6"/>
              <w:rPr>
                <w:color w:val="0000FA"/>
              </w:rPr>
            </w:pPr>
          </w:p>
        </w:tc>
        <w:tc>
          <w:tcPr>
            <w:tcW w:w="4876" w:type="dxa"/>
          </w:tcPr>
          <w:p w14:paraId="3BBA4F5A" w14:textId="77777777" w:rsidR="003B40DD" w:rsidRPr="005B3ABD" w:rsidRDefault="003B40DD" w:rsidP="00882D36">
            <w:pPr>
              <w:pStyle w:val="Normal6"/>
              <w:rPr>
                <w:color w:val="000005"/>
                <w:szCs w:val="24"/>
              </w:rPr>
            </w:pPr>
            <w:r w:rsidRPr="005B3ABD">
              <w:rPr>
                <w:b/>
                <w:i/>
              </w:rPr>
              <w:t>(d) the criteria for applicants to be eligible for the aid and for applications for aid to be admissible;</w:t>
            </w:r>
          </w:p>
        </w:tc>
      </w:tr>
      <w:tr w:rsidR="003B40DD" w:rsidRPr="005B3ABD" w14:paraId="78E376FF" w14:textId="77777777" w:rsidTr="00882D36">
        <w:trPr>
          <w:jc w:val="center"/>
        </w:trPr>
        <w:tc>
          <w:tcPr>
            <w:tcW w:w="4876" w:type="dxa"/>
          </w:tcPr>
          <w:p w14:paraId="3BBEC4B9" w14:textId="77777777" w:rsidR="003B40DD" w:rsidRPr="005B3ABD" w:rsidRDefault="003B40DD" w:rsidP="00882D36">
            <w:pPr>
              <w:pStyle w:val="Normal6"/>
              <w:rPr>
                <w:color w:val="0000FA"/>
              </w:rPr>
            </w:pPr>
          </w:p>
        </w:tc>
        <w:tc>
          <w:tcPr>
            <w:tcW w:w="4876" w:type="dxa"/>
          </w:tcPr>
          <w:p w14:paraId="208DBEF5" w14:textId="77777777" w:rsidR="003B40DD" w:rsidRPr="005B3ABD" w:rsidRDefault="003B40DD" w:rsidP="00882D36">
            <w:pPr>
              <w:pStyle w:val="Normal6"/>
              <w:rPr>
                <w:szCs w:val="24"/>
              </w:rPr>
            </w:pPr>
            <w:r w:rsidRPr="005B3ABD">
              <w:rPr>
                <w:b/>
                <w:i/>
              </w:rPr>
              <w:t>(e) the specific conditions for the implementation of this scheme.</w:t>
            </w:r>
          </w:p>
        </w:tc>
      </w:tr>
    </w:tbl>
    <w:p w14:paraId="4959051B"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725A902"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AD1A783" w14:textId="77777777" w:rsidR="003B40DD" w:rsidRPr="005B3ABD" w:rsidRDefault="003B40DD" w:rsidP="003B40DD">
      <w:pPr>
        <w:pStyle w:val="Normal12Italic"/>
      </w:pPr>
      <w:r w:rsidRPr="005B3ABD">
        <w:t>The aid for voluntary reduction of milk production applied in 2016 based on Article 219 is thus transcribed in the CMO Regulation. This article serves to establish this measure in the regulation and to switch from an incentive approach to a coercion approach.</w:t>
      </w:r>
    </w:p>
    <w:p w14:paraId="58143B1C" w14:textId="77777777" w:rsidR="003B40DD" w:rsidRPr="005B3ABD" w:rsidRDefault="003B40DD" w:rsidP="003B40DD">
      <w:r w:rsidRPr="005B3ABD">
        <w:rPr>
          <w:rStyle w:val="HideTWBExt"/>
          <w:noProof w:val="0"/>
          <w:color w:val="auto"/>
        </w:rPr>
        <w:t>&lt;/Amend&gt;</w:t>
      </w:r>
    </w:p>
    <w:p w14:paraId="3E68AD0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67</w:t>
      </w:r>
      <w:r w:rsidRPr="005B3ABD">
        <w:rPr>
          <w:rStyle w:val="HideTWBExt"/>
          <w:b w:val="0"/>
          <w:noProof w:val="0"/>
          <w:color w:val="auto"/>
        </w:rPr>
        <w:t>&lt;/NumAm&gt;</w:t>
      </w:r>
    </w:p>
    <w:p w14:paraId="50C315B3"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7244F4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f (new)</w:t>
      </w:r>
      <w:r w:rsidRPr="005B3ABD">
        <w:rPr>
          <w:rStyle w:val="HideTWBExt"/>
          <w:b w:val="0"/>
          <w:noProof w:val="0"/>
          <w:color w:val="auto"/>
        </w:rPr>
        <w:t>&lt;/Article&gt;</w:t>
      </w:r>
    </w:p>
    <w:p w14:paraId="7702ACDC"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CAE721A" w14:textId="77777777" w:rsidR="003B40DD" w:rsidRPr="005B3ABD" w:rsidRDefault="003B40DD" w:rsidP="003B40DD">
      <w:r w:rsidRPr="005B3ABD">
        <w:rPr>
          <w:rStyle w:val="HideTWBExt"/>
          <w:noProof w:val="0"/>
          <w:color w:val="auto"/>
        </w:rPr>
        <w:t>&lt;Article2&gt;</w:t>
      </w:r>
      <w:r w:rsidRPr="005B3ABD">
        <w:t>Article 222</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8FC2EF3" w14:textId="77777777" w:rsidTr="00882D36">
        <w:trPr>
          <w:jc w:val="center"/>
        </w:trPr>
        <w:tc>
          <w:tcPr>
            <w:tcW w:w="9752" w:type="dxa"/>
            <w:gridSpan w:val="2"/>
          </w:tcPr>
          <w:p w14:paraId="0B5C24CB" w14:textId="77777777" w:rsidR="003B40DD" w:rsidRPr="005B3ABD" w:rsidRDefault="003B40DD" w:rsidP="00882D36">
            <w:pPr>
              <w:keepNext/>
            </w:pPr>
          </w:p>
        </w:tc>
      </w:tr>
      <w:tr w:rsidR="003B40DD" w:rsidRPr="005B3ABD" w14:paraId="131BE829" w14:textId="77777777" w:rsidTr="00882D36">
        <w:trPr>
          <w:jc w:val="center"/>
        </w:trPr>
        <w:tc>
          <w:tcPr>
            <w:tcW w:w="4876" w:type="dxa"/>
          </w:tcPr>
          <w:p w14:paraId="2DA20AC0" w14:textId="77777777" w:rsidR="003B40DD" w:rsidRPr="005B3ABD" w:rsidRDefault="003B40DD" w:rsidP="00882D36">
            <w:pPr>
              <w:pStyle w:val="ColumnHeading"/>
              <w:keepNext/>
              <w:rPr>
                <w:color w:val="0000FA"/>
              </w:rPr>
            </w:pPr>
            <w:r w:rsidRPr="005B3ABD">
              <w:t>Text proposed by the Commission</w:t>
            </w:r>
          </w:p>
        </w:tc>
        <w:tc>
          <w:tcPr>
            <w:tcW w:w="4876" w:type="dxa"/>
          </w:tcPr>
          <w:p w14:paraId="3C8345DC" w14:textId="77777777" w:rsidR="003B40DD" w:rsidRPr="005B3ABD" w:rsidRDefault="003B40DD" w:rsidP="00882D36">
            <w:pPr>
              <w:pStyle w:val="ColumnHeading"/>
              <w:keepNext/>
              <w:rPr>
                <w:color w:val="0000F5"/>
              </w:rPr>
            </w:pPr>
            <w:r w:rsidRPr="005B3ABD">
              <w:t>Amendment</w:t>
            </w:r>
          </w:p>
        </w:tc>
      </w:tr>
      <w:tr w:rsidR="003B40DD" w:rsidRPr="005B3ABD" w14:paraId="77109001" w14:textId="77777777" w:rsidTr="00882D36">
        <w:trPr>
          <w:jc w:val="center"/>
        </w:trPr>
        <w:tc>
          <w:tcPr>
            <w:tcW w:w="4876" w:type="dxa"/>
          </w:tcPr>
          <w:p w14:paraId="30A61B34" w14:textId="77777777" w:rsidR="003B40DD" w:rsidRPr="005B3ABD" w:rsidRDefault="003B40DD" w:rsidP="00882D36">
            <w:pPr>
              <w:pStyle w:val="Normal6"/>
              <w:rPr>
                <w:color w:val="0000FA"/>
              </w:rPr>
            </w:pPr>
          </w:p>
        </w:tc>
        <w:tc>
          <w:tcPr>
            <w:tcW w:w="4876" w:type="dxa"/>
          </w:tcPr>
          <w:p w14:paraId="6F6E571B" w14:textId="77777777" w:rsidR="003B40DD" w:rsidRPr="005B3ABD" w:rsidRDefault="003B40DD" w:rsidP="00882D36">
            <w:pPr>
              <w:pStyle w:val="Normal6"/>
              <w:rPr>
                <w:szCs w:val="24"/>
              </w:rPr>
            </w:pPr>
            <w:r w:rsidRPr="005B3ABD">
              <w:rPr>
                <w:b/>
                <w:i/>
              </w:rPr>
              <w:t>(26 f)</w:t>
            </w:r>
            <w:r w:rsidRPr="005B3ABD">
              <w:rPr>
                <w:b/>
                <w:i/>
              </w:rPr>
              <w:tab/>
              <w:t>Article 222 is deleted</w:t>
            </w:r>
          </w:p>
        </w:tc>
      </w:tr>
    </w:tbl>
    <w:p w14:paraId="5171777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900E8E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2F28849" w14:textId="77777777" w:rsidR="003B40DD" w:rsidRPr="005B3ABD" w:rsidRDefault="003B40DD" w:rsidP="003B40DD">
      <w:pPr>
        <w:pStyle w:val="Normal12Italic"/>
      </w:pPr>
      <w:r w:rsidRPr="005B3ABD">
        <w:t>This article is referred to as the ‘pro-cartel’ article. It was used once in 2016 during the milk crisis, but without achieving results. The CAP should on the contrary serve to protect farmers as well as consumers against the excesses of a monopolistic concentration of processing and distribution.</w:t>
      </w:r>
    </w:p>
    <w:p w14:paraId="2D6300C2" w14:textId="77777777" w:rsidR="003B40DD" w:rsidRPr="005B3ABD" w:rsidRDefault="003B40DD" w:rsidP="003B40DD">
      <w:r w:rsidRPr="005B3ABD">
        <w:rPr>
          <w:rStyle w:val="HideTWBExt"/>
          <w:noProof w:val="0"/>
          <w:color w:val="auto"/>
        </w:rPr>
        <w:t>&lt;/Amend&gt;</w:t>
      </w:r>
    </w:p>
    <w:p w14:paraId="0612D05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68</w:t>
      </w:r>
      <w:r w:rsidRPr="005B3ABD">
        <w:rPr>
          <w:rStyle w:val="HideTWBExt"/>
          <w:b w:val="0"/>
          <w:noProof w:val="0"/>
          <w:color w:val="auto"/>
        </w:rPr>
        <w:t>&lt;/NumAm&gt;</w:t>
      </w:r>
    </w:p>
    <w:p w14:paraId="1ACEFBB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19B3CC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g (new)</w:t>
      </w:r>
      <w:r w:rsidRPr="005B3ABD">
        <w:rPr>
          <w:rStyle w:val="HideTWBExt"/>
          <w:b w:val="0"/>
          <w:noProof w:val="0"/>
          <w:color w:val="auto"/>
        </w:rPr>
        <w:t>&lt;/Article&gt;</w:t>
      </w:r>
    </w:p>
    <w:p w14:paraId="0B765E1B"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704E8CE" w14:textId="77777777" w:rsidR="003B40DD" w:rsidRPr="005B3ABD" w:rsidRDefault="003B40DD" w:rsidP="003B40DD">
      <w:r w:rsidRPr="005B3ABD">
        <w:rPr>
          <w:rStyle w:val="HideTWBExt"/>
          <w:noProof w:val="0"/>
          <w:color w:val="auto"/>
        </w:rPr>
        <w:t>&lt;Article2&gt;</w:t>
      </w:r>
      <w:r w:rsidRPr="005B3ABD">
        <w:t>Article 223 – paragraph 1 – subparagraph 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357E90E" w14:textId="77777777" w:rsidTr="00882D36">
        <w:trPr>
          <w:jc w:val="center"/>
        </w:trPr>
        <w:tc>
          <w:tcPr>
            <w:tcW w:w="9752" w:type="dxa"/>
            <w:gridSpan w:val="2"/>
          </w:tcPr>
          <w:p w14:paraId="72640D1C" w14:textId="77777777" w:rsidR="003B40DD" w:rsidRPr="005B3ABD" w:rsidRDefault="003B40DD" w:rsidP="00882D36">
            <w:pPr>
              <w:keepNext/>
            </w:pPr>
          </w:p>
        </w:tc>
      </w:tr>
      <w:tr w:rsidR="003B40DD" w:rsidRPr="005B3ABD" w14:paraId="30AA1E31" w14:textId="77777777" w:rsidTr="00882D36">
        <w:trPr>
          <w:jc w:val="center"/>
        </w:trPr>
        <w:tc>
          <w:tcPr>
            <w:tcW w:w="4876" w:type="dxa"/>
          </w:tcPr>
          <w:p w14:paraId="5E94778E" w14:textId="77777777" w:rsidR="003B40DD" w:rsidRPr="005B3ABD" w:rsidRDefault="003B40DD" w:rsidP="00882D36">
            <w:pPr>
              <w:pStyle w:val="ColumnHeading"/>
              <w:keepNext/>
              <w:rPr>
                <w:color w:val="0000FA"/>
              </w:rPr>
            </w:pPr>
            <w:r w:rsidRPr="005B3ABD">
              <w:t>This text</w:t>
            </w:r>
          </w:p>
        </w:tc>
        <w:tc>
          <w:tcPr>
            <w:tcW w:w="4876" w:type="dxa"/>
          </w:tcPr>
          <w:p w14:paraId="00BB68A4" w14:textId="77777777" w:rsidR="003B40DD" w:rsidRPr="005B3ABD" w:rsidRDefault="003B40DD" w:rsidP="00882D36">
            <w:pPr>
              <w:pStyle w:val="ColumnHeading"/>
              <w:keepNext/>
              <w:rPr>
                <w:color w:val="0000F5"/>
              </w:rPr>
            </w:pPr>
            <w:r w:rsidRPr="005B3ABD">
              <w:t>Amendment</w:t>
            </w:r>
          </w:p>
        </w:tc>
      </w:tr>
      <w:tr w:rsidR="003B40DD" w:rsidRPr="005B3ABD" w14:paraId="51BCFBFB" w14:textId="77777777" w:rsidTr="00882D36">
        <w:trPr>
          <w:jc w:val="center"/>
        </w:trPr>
        <w:tc>
          <w:tcPr>
            <w:tcW w:w="4876" w:type="dxa"/>
          </w:tcPr>
          <w:p w14:paraId="095503A4" w14:textId="77777777" w:rsidR="003B40DD" w:rsidRPr="005B3ABD" w:rsidRDefault="003B40DD" w:rsidP="00882D36">
            <w:pPr>
              <w:pStyle w:val="Normal6"/>
              <w:rPr>
                <w:color w:val="0000FA"/>
              </w:rPr>
            </w:pPr>
          </w:p>
        </w:tc>
        <w:tc>
          <w:tcPr>
            <w:tcW w:w="4876" w:type="dxa"/>
          </w:tcPr>
          <w:p w14:paraId="1D794E49" w14:textId="77777777" w:rsidR="003B40DD" w:rsidRPr="005B3ABD" w:rsidRDefault="003B40DD" w:rsidP="00882D36">
            <w:pPr>
              <w:pStyle w:val="Normal6"/>
              <w:rPr>
                <w:color w:val="000005"/>
                <w:szCs w:val="24"/>
              </w:rPr>
            </w:pPr>
            <w:r w:rsidRPr="005B3ABD">
              <w:rPr>
                <w:b/>
                <w:i/>
              </w:rPr>
              <w:t>(26 g)</w:t>
            </w:r>
            <w:r w:rsidRPr="005B3ABD">
              <w:rPr>
                <w:b/>
                <w:i/>
              </w:rPr>
              <w:tab/>
              <w:t>In Article 223(1), the second subparagraph is replaced by the following:</w:t>
            </w:r>
          </w:p>
        </w:tc>
      </w:tr>
      <w:tr w:rsidR="003B40DD" w:rsidRPr="005B3ABD" w14:paraId="2AC212E4" w14:textId="77777777" w:rsidTr="00882D36">
        <w:trPr>
          <w:jc w:val="center"/>
        </w:trPr>
        <w:tc>
          <w:tcPr>
            <w:tcW w:w="4876" w:type="dxa"/>
          </w:tcPr>
          <w:p w14:paraId="5A1BA9E1" w14:textId="77777777" w:rsidR="003B40DD" w:rsidRPr="005B3ABD" w:rsidRDefault="003B40DD" w:rsidP="00882D36">
            <w:pPr>
              <w:pStyle w:val="Normal6"/>
              <w:rPr>
                <w:color w:val="0000FA"/>
              </w:rPr>
            </w:pPr>
            <w:r w:rsidRPr="005B3ABD">
              <w:t>The information obtained may be transmitted or made available to international organisations, the competent authorities of third countries and may be made public, subject to the protection of personal data and the legitimate interest of undertakings in the protection of their business secrets, including prices.</w:t>
            </w:r>
          </w:p>
        </w:tc>
        <w:tc>
          <w:tcPr>
            <w:tcW w:w="4876" w:type="dxa"/>
          </w:tcPr>
          <w:p w14:paraId="72510F3A" w14:textId="77777777" w:rsidR="003B40DD" w:rsidRPr="005B3ABD" w:rsidRDefault="003B40DD" w:rsidP="00882D36">
            <w:pPr>
              <w:pStyle w:val="Normal6"/>
              <w:rPr>
                <w:szCs w:val="24"/>
              </w:rPr>
            </w:pPr>
            <w:r w:rsidRPr="005B3ABD">
              <w:t xml:space="preserve">“The information obtained may be transmitted or made available to international organisations, </w:t>
            </w:r>
            <w:r w:rsidRPr="005B3ABD">
              <w:rPr>
                <w:b/>
                <w:bCs/>
                <w:i/>
                <w:iCs/>
              </w:rPr>
              <w:t>European financial market authorities,</w:t>
            </w:r>
            <w:r w:rsidRPr="005B3ABD">
              <w:rPr>
                <w:b/>
                <w:bCs/>
              </w:rPr>
              <w:t xml:space="preserve"> </w:t>
            </w:r>
            <w:r w:rsidRPr="005B3ABD">
              <w:t xml:space="preserve">the competent authorities of third countries and may be made public, subject to the protection of personal data and the legitimate interest of undertakings in the protection of their business secrets, including prices.” </w:t>
            </w:r>
          </w:p>
        </w:tc>
      </w:tr>
    </w:tbl>
    <w:p w14:paraId="725B812D"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B779F12" w14:textId="77777777" w:rsidR="003B40DD" w:rsidRPr="005B3ABD" w:rsidRDefault="003B40DD" w:rsidP="003B40DD">
      <w:pPr>
        <w:pStyle w:val="CrossRef"/>
      </w:pPr>
      <w:r w:rsidRPr="005B3ABD">
        <w:t>(https://eur-lex.europa.eu/legal-content/EN/TXT/?uri=CELEX:02013R1308-20180101)</w:t>
      </w:r>
    </w:p>
    <w:p w14:paraId="771E5BF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2BAF82E" w14:textId="77777777" w:rsidR="003B40DD" w:rsidRPr="005B3ABD" w:rsidRDefault="003B40DD" w:rsidP="003B40DD">
      <w:pPr>
        <w:pStyle w:val="Normal12Italic"/>
      </w:pPr>
      <w:r w:rsidRPr="005B3ABD">
        <w:t>The review of directives that regulate European financial markets implies a duty for the Commission and national authorities to cooperate with financial authorities.</w:t>
      </w:r>
    </w:p>
    <w:p w14:paraId="39CFFAD1" w14:textId="77777777" w:rsidR="003B40DD" w:rsidRPr="005B3ABD" w:rsidRDefault="003B40DD" w:rsidP="003B40DD">
      <w:r w:rsidRPr="005B3ABD">
        <w:rPr>
          <w:rStyle w:val="HideTWBExt"/>
          <w:noProof w:val="0"/>
          <w:color w:val="auto"/>
        </w:rPr>
        <w:t>&lt;/Amend&gt;</w:t>
      </w:r>
    </w:p>
    <w:p w14:paraId="494A4C56"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69</w:t>
      </w:r>
      <w:r w:rsidRPr="005B3ABD">
        <w:rPr>
          <w:rStyle w:val="HideTWBExt"/>
          <w:b w:val="0"/>
          <w:noProof w:val="0"/>
          <w:color w:val="auto"/>
        </w:rPr>
        <w:t>&lt;/NumAm&gt;</w:t>
      </w:r>
    </w:p>
    <w:p w14:paraId="425F58B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EDAECF2"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26 h (new)</w:t>
      </w:r>
      <w:r w:rsidRPr="005B3ABD">
        <w:rPr>
          <w:rStyle w:val="HideTWBExt"/>
          <w:b w:val="0"/>
          <w:noProof w:val="0"/>
          <w:color w:val="auto"/>
        </w:rPr>
        <w:t>&lt;/Article&gt;</w:t>
      </w:r>
    </w:p>
    <w:p w14:paraId="0FC0EDE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773CFFE" w14:textId="77777777" w:rsidR="003B40DD" w:rsidRPr="005B3ABD" w:rsidRDefault="003B40DD" w:rsidP="003B40DD">
      <w:r w:rsidRPr="005B3ABD">
        <w:rPr>
          <w:rStyle w:val="HideTWBExt"/>
          <w:noProof w:val="0"/>
          <w:color w:val="auto"/>
        </w:rPr>
        <w:t>&lt;Article2&gt;</w:t>
      </w:r>
      <w:r w:rsidRPr="005B3ABD">
        <w:t>Article 223 – paragraph 3 – subparagraph 2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C538B10" w14:textId="77777777" w:rsidTr="00882D36">
        <w:trPr>
          <w:jc w:val="center"/>
        </w:trPr>
        <w:tc>
          <w:tcPr>
            <w:tcW w:w="9752" w:type="dxa"/>
            <w:gridSpan w:val="2"/>
          </w:tcPr>
          <w:p w14:paraId="30FF4700" w14:textId="77777777" w:rsidR="003B40DD" w:rsidRPr="005B3ABD" w:rsidRDefault="003B40DD" w:rsidP="00882D36">
            <w:pPr>
              <w:keepNext/>
            </w:pPr>
          </w:p>
        </w:tc>
      </w:tr>
      <w:tr w:rsidR="003B40DD" w:rsidRPr="005B3ABD" w14:paraId="2F40A60D" w14:textId="77777777" w:rsidTr="00882D36">
        <w:trPr>
          <w:jc w:val="center"/>
        </w:trPr>
        <w:tc>
          <w:tcPr>
            <w:tcW w:w="4876" w:type="dxa"/>
          </w:tcPr>
          <w:p w14:paraId="3C0ACA44" w14:textId="77777777" w:rsidR="003B40DD" w:rsidRPr="005B3ABD" w:rsidRDefault="003B40DD" w:rsidP="00882D36">
            <w:pPr>
              <w:pStyle w:val="ColumnHeading"/>
              <w:keepNext/>
              <w:rPr>
                <w:color w:val="0000FA"/>
              </w:rPr>
            </w:pPr>
            <w:r w:rsidRPr="005B3ABD">
              <w:t>Text proposed by the Commission</w:t>
            </w:r>
          </w:p>
        </w:tc>
        <w:tc>
          <w:tcPr>
            <w:tcW w:w="4876" w:type="dxa"/>
          </w:tcPr>
          <w:p w14:paraId="04FE6A4C" w14:textId="77777777" w:rsidR="003B40DD" w:rsidRPr="005B3ABD" w:rsidRDefault="003B40DD" w:rsidP="00882D36">
            <w:pPr>
              <w:pStyle w:val="ColumnHeading"/>
              <w:keepNext/>
              <w:rPr>
                <w:color w:val="0000F5"/>
              </w:rPr>
            </w:pPr>
            <w:r w:rsidRPr="005B3ABD">
              <w:t>Amendment</w:t>
            </w:r>
          </w:p>
        </w:tc>
      </w:tr>
      <w:tr w:rsidR="003B40DD" w:rsidRPr="005B3ABD" w14:paraId="29BD9C1C" w14:textId="77777777" w:rsidTr="00882D36">
        <w:trPr>
          <w:jc w:val="center"/>
        </w:trPr>
        <w:tc>
          <w:tcPr>
            <w:tcW w:w="4876" w:type="dxa"/>
          </w:tcPr>
          <w:p w14:paraId="5E2EFC4A" w14:textId="77777777" w:rsidR="003B40DD" w:rsidRPr="005B3ABD" w:rsidRDefault="003B40DD" w:rsidP="00882D36">
            <w:pPr>
              <w:pStyle w:val="Normal6"/>
              <w:rPr>
                <w:color w:val="0000FA"/>
              </w:rPr>
            </w:pPr>
          </w:p>
        </w:tc>
        <w:tc>
          <w:tcPr>
            <w:tcW w:w="4876" w:type="dxa"/>
          </w:tcPr>
          <w:p w14:paraId="4B918C3B" w14:textId="77777777" w:rsidR="003B40DD" w:rsidRPr="005B3ABD" w:rsidRDefault="003B40DD" w:rsidP="00882D36">
            <w:pPr>
              <w:pStyle w:val="Normal6"/>
              <w:rPr>
                <w:color w:val="000005"/>
                <w:szCs w:val="24"/>
              </w:rPr>
            </w:pPr>
            <w:r w:rsidRPr="005B3ABD">
              <w:rPr>
                <w:b/>
                <w:i/>
              </w:rPr>
              <w:t>(26 h)</w:t>
            </w:r>
            <w:r w:rsidRPr="005B3ABD">
              <w:rPr>
                <w:b/>
                <w:i/>
              </w:rPr>
              <w:tab/>
              <w:t>In Article 223, the following subparagraph is added to paragraph 3:</w:t>
            </w:r>
          </w:p>
        </w:tc>
      </w:tr>
      <w:tr w:rsidR="003B40DD" w:rsidRPr="005B3ABD" w14:paraId="02F7B61E" w14:textId="77777777" w:rsidTr="00882D36">
        <w:trPr>
          <w:jc w:val="center"/>
        </w:trPr>
        <w:tc>
          <w:tcPr>
            <w:tcW w:w="4876" w:type="dxa"/>
          </w:tcPr>
          <w:p w14:paraId="6A1AAE7E" w14:textId="77777777" w:rsidR="003B40DD" w:rsidRPr="005B3ABD" w:rsidRDefault="003B40DD" w:rsidP="00882D36">
            <w:pPr>
              <w:pStyle w:val="Normal6"/>
              <w:rPr>
                <w:color w:val="0000FA"/>
              </w:rPr>
            </w:pPr>
          </w:p>
        </w:tc>
        <w:tc>
          <w:tcPr>
            <w:tcW w:w="4876" w:type="dxa"/>
          </w:tcPr>
          <w:p w14:paraId="1CA50D30" w14:textId="77777777" w:rsidR="003B40DD" w:rsidRPr="005B3ABD" w:rsidRDefault="003B40DD" w:rsidP="00882D36">
            <w:pPr>
              <w:pStyle w:val="Normal6"/>
              <w:rPr>
                <w:szCs w:val="24"/>
              </w:rPr>
            </w:pPr>
            <w:r w:rsidRPr="005B3ABD">
              <w:rPr>
                <w:b/>
                <w:i/>
              </w:rPr>
              <w:t>To ensure an adequate level of market transparency in compliance with business secret, the Commission may, in accordance with the procedure referred to in paragraph 2, adopt measures that force players in markets that particularly lack transparency to perform their transactions via an electronic platform of exchange.</w:t>
            </w:r>
          </w:p>
        </w:tc>
      </w:tr>
    </w:tbl>
    <w:p w14:paraId="741261E8"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042E64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18969BE" w14:textId="77777777" w:rsidR="003B40DD" w:rsidRPr="005B3ABD" w:rsidRDefault="003B40DD" w:rsidP="003B40DD">
      <w:pPr>
        <w:pStyle w:val="Normal12Italic"/>
      </w:pPr>
      <w:r w:rsidRPr="005B3ABD">
        <w:t>Article 223 gives considerable powers to the Commission to improve market transparency. In line with the EMIR Directive No 648/2012 for financial markets, agricultural market regulation authorities will have the possibility to make it compulsory to perform opaque off-exchange transactions via electronic platforms of exchange.</w:t>
      </w:r>
    </w:p>
    <w:p w14:paraId="2FAA7518" w14:textId="77777777" w:rsidR="003B40DD" w:rsidRPr="005B3ABD" w:rsidRDefault="003B40DD" w:rsidP="003B40DD">
      <w:r w:rsidRPr="005B3ABD">
        <w:rPr>
          <w:rStyle w:val="HideTWBExt"/>
          <w:noProof w:val="0"/>
          <w:color w:val="auto"/>
        </w:rPr>
        <w:t>&lt;/Amend&gt;</w:t>
      </w:r>
    </w:p>
    <w:p w14:paraId="5FAB118E"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70</w:t>
      </w:r>
      <w:r w:rsidRPr="005B3ABD">
        <w:rPr>
          <w:rStyle w:val="HideTWBExt"/>
          <w:b w:val="0"/>
          <w:noProof w:val="0"/>
          <w:color w:val="auto"/>
        </w:rPr>
        <w:t>&lt;/NumAm&gt;</w:t>
      </w:r>
    </w:p>
    <w:p w14:paraId="40CD5D43"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17FA3A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27</w:t>
      </w:r>
      <w:r w:rsidRPr="005B3ABD">
        <w:rPr>
          <w:rStyle w:val="HideTWBExt"/>
          <w:b w:val="0"/>
          <w:noProof w:val="0"/>
          <w:color w:val="auto"/>
        </w:rPr>
        <w:t>&lt;/Article&gt;</w:t>
      </w:r>
    </w:p>
    <w:p w14:paraId="38B67FC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C51F3E0" w14:textId="77777777" w:rsidR="003B40DD" w:rsidRPr="005B3ABD" w:rsidRDefault="003B40DD" w:rsidP="003B40DD">
      <w:r w:rsidRPr="005B3ABD">
        <w:rPr>
          <w:rStyle w:val="HideTWBExt"/>
          <w:noProof w:val="0"/>
          <w:color w:val="auto"/>
        </w:rPr>
        <w:t>&lt;Article2&gt;</w:t>
      </w:r>
      <w:r w:rsidRPr="005B3ABD">
        <w:t>Article 225 – paragraph 1 – points a to d</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B335B65" w14:textId="77777777" w:rsidTr="00882D36">
        <w:trPr>
          <w:jc w:val="center"/>
        </w:trPr>
        <w:tc>
          <w:tcPr>
            <w:tcW w:w="9752" w:type="dxa"/>
            <w:gridSpan w:val="2"/>
          </w:tcPr>
          <w:p w14:paraId="7F05C3BE" w14:textId="77777777" w:rsidR="003B40DD" w:rsidRPr="005B3ABD" w:rsidRDefault="003B40DD" w:rsidP="00882D36">
            <w:pPr>
              <w:keepNext/>
            </w:pPr>
          </w:p>
        </w:tc>
      </w:tr>
      <w:tr w:rsidR="003B40DD" w:rsidRPr="005B3ABD" w14:paraId="3813CAF2" w14:textId="77777777" w:rsidTr="00882D36">
        <w:trPr>
          <w:jc w:val="center"/>
        </w:trPr>
        <w:tc>
          <w:tcPr>
            <w:tcW w:w="4876" w:type="dxa"/>
          </w:tcPr>
          <w:p w14:paraId="1C45DF7A" w14:textId="77777777" w:rsidR="003B40DD" w:rsidRPr="005B3ABD" w:rsidRDefault="003B40DD" w:rsidP="00882D36">
            <w:pPr>
              <w:pStyle w:val="ColumnHeading"/>
              <w:keepNext/>
              <w:rPr>
                <w:color w:val="0000FA"/>
              </w:rPr>
            </w:pPr>
            <w:r w:rsidRPr="005B3ABD">
              <w:t>Text proposed by the Commission</w:t>
            </w:r>
          </w:p>
        </w:tc>
        <w:tc>
          <w:tcPr>
            <w:tcW w:w="4876" w:type="dxa"/>
          </w:tcPr>
          <w:p w14:paraId="3F9AFE1F" w14:textId="77777777" w:rsidR="003B40DD" w:rsidRPr="005B3ABD" w:rsidRDefault="003B40DD" w:rsidP="00882D36">
            <w:pPr>
              <w:pStyle w:val="ColumnHeading"/>
              <w:keepNext/>
              <w:rPr>
                <w:color w:val="0000F5"/>
              </w:rPr>
            </w:pPr>
            <w:r w:rsidRPr="005B3ABD">
              <w:t>Amendment</w:t>
            </w:r>
          </w:p>
        </w:tc>
      </w:tr>
      <w:tr w:rsidR="003B40DD" w:rsidRPr="005B3ABD" w14:paraId="0E3AD4ED" w14:textId="77777777" w:rsidTr="00882D36">
        <w:trPr>
          <w:jc w:val="center"/>
        </w:trPr>
        <w:tc>
          <w:tcPr>
            <w:tcW w:w="4876" w:type="dxa"/>
          </w:tcPr>
          <w:p w14:paraId="6A5D7E07" w14:textId="77777777" w:rsidR="003B40DD" w:rsidRPr="005B3ABD" w:rsidRDefault="003B40DD" w:rsidP="00882D36">
            <w:pPr>
              <w:pStyle w:val="Normal6"/>
              <w:rPr>
                <w:color w:val="0000FA"/>
              </w:rPr>
            </w:pPr>
            <w:r w:rsidRPr="005B3ABD">
              <w:t>(27)</w:t>
            </w:r>
            <w:r w:rsidRPr="005B3ABD">
              <w:tab/>
            </w:r>
            <w:r w:rsidRPr="005B3ABD">
              <w:rPr>
                <w:b/>
                <w:bCs/>
                <w:i/>
                <w:iCs/>
              </w:rPr>
              <w:t>in</w:t>
            </w:r>
            <w:r w:rsidRPr="005B3ABD">
              <w:rPr>
                <w:b/>
                <w:bCs/>
              </w:rPr>
              <w:t xml:space="preserve"> </w:t>
            </w:r>
            <w:r w:rsidRPr="005B3ABD">
              <w:t xml:space="preserve">Article 225, points (a) </w:t>
            </w:r>
            <w:r w:rsidRPr="005B3ABD">
              <w:rPr>
                <w:b/>
                <w:bCs/>
                <w:i/>
                <w:iCs/>
              </w:rPr>
              <w:t>to</w:t>
            </w:r>
            <w:r w:rsidRPr="005B3ABD">
              <w:t xml:space="preserve"> (d) are deleted</w:t>
            </w:r>
            <w:r w:rsidRPr="005B3ABD">
              <w:rPr>
                <w:b/>
                <w:bCs/>
                <w:i/>
                <w:iCs/>
              </w:rPr>
              <w:t>;</w:t>
            </w:r>
          </w:p>
        </w:tc>
        <w:tc>
          <w:tcPr>
            <w:tcW w:w="4876" w:type="dxa"/>
          </w:tcPr>
          <w:p w14:paraId="1FB8C3C3" w14:textId="77777777" w:rsidR="003B40DD" w:rsidRPr="005B3ABD" w:rsidRDefault="003B40DD" w:rsidP="00882D36">
            <w:pPr>
              <w:pStyle w:val="Normal6"/>
              <w:rPr>
                <w:szCs w:val="24"/>
              </w:rPr>
            </w:pPr>
            <w:r w:rsidRPr="005B3ABD">
              <w:t>(27)</w:t>
            </w:r>
            <w:r w:rsidRPr="005B3ABD">
              <w:tab/>
            </w:r>
            <w:r w:rsidRPr="005B3ABD">
              <w:rPr>
                <w:b/>
                <w:bCs/>
                <w:i/>
                <w:iCs/>
              </w:rPr>
              <w:t>In</w:t>
            </w:r>
            <w:r w:rsidRPr="005B3ABD">
              <w:rPr>
                <w:b/>
                <w:bCs/>
              </w:rPr>
              <w:t xml:space="preserve"> </w:t>
            </w:r>
            <w:r w:rsidRPr="005B3ABD">
              <w:t>Article 225, points (a)</w:t>
            </w:r>
            <w:r w:rsidRPr="005B3ABD">
              <w:rPr>
                <w:b/>
                <w:i/>
              </w:rPr>
              <w:t xml:space="preserve"> (c)</w:t>
            </w:r>
            <w:r w:rsidRPr="005B3ABD">
              <w:rPr>
                <w:b/>
                <w:bCs/>
                <w:i/>
                <w:iCs/>
              </w:rPr>
              <w:t>and</w:t>
            </w:r>
            <w:r w:rsidRPr="005B3ABD">
              <w:t xml:space="preserve"> (d) are deleted</w:t>
            </w:r>
          </w:p>
        </w:tc>
      </w:tr>
    </w:tbl>
    <w:p w14:paraId="02074DB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D3CE8C6"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54BAF3D5" w14:textId="77777777" w:rsidR="003B40DD" w:rsidRPr="005B3ABD" w:rsidRDefault="003B40DD" w:rsidP="003B40DD">
      <w:pPr>
        <w:pStyle w:val="Normal12Italic"/>
      </w:pPr>
      <w:r w:rsidRPr="005B3ABD">
        <w:t>In the 4 points deleted by the Commission, we object to the deletion of point (b) on developments in the milk and milk product market</w:t>
      </w:r>
    </w:p>
    <w:p w14:paraId="2329258C" w14:textId="77777777" w:rsidR="003B40DD" w:rsidRPr="005B3ABD" w:rsidRDefault="003B40DD" w:rsidP="003B40DD">
      <w:r w:rsidRPr="005B3ABD">
        <w:rPr>
          <w:rStyle w:val="HideTWBExt"/>
          <w:noProof w:val="0"/>
          <w:color w:val="auto"/>
        </w:rPr>
        <w:t>&lt;/Amend&gt;</w:t>
      </w:r>
    </w:p>
    <w:p w14:paraId="30DF1C46"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71</w:t>
      </w:r>
      <w:r w:rsidRPr="005B3ABD">
        <w:rPr>
          <w:rStyle w:val="HideTWBExt"/>
          <w:b w:val="0"/>
          <w:noProof w:val="0"/>
          <w:color w:val="auto"/>
        </w:rPr>
        <w:t>&lt;/NumAm&gt;</w:t>
      </w:r>
    </w:p>
    <w:p w14:paraId="7A4C788D"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2B9B23B"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27 a (new)</w:t>
      </w:r>
      <w:r w:rsidRPr="005B3ABD">
        <w:rPr>
          <w:rStyle w:val="HideTWBExt"/>
          <w:b w:val="0"/>
          <w:noProof w:val="0"/>
          <w:color w:val="auto"/>
        </w:rPr>
        <w:t>&lt;/Article&gt;</w:t>
      </w:r>
    </w:p>
    <w:p w14:paraId="08F768C3"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67AC6D3" w14:textId="77777777" w:rsidR="003B40DD" w:rsidRPr="005B3ABD" w:rsidRDefault="003B40DD" w:rsidP="003B40DD">
      <w:r w:rsidRPr="005B3ABD">
        <w:rPr>
          <w:rStyle w:val="HideTWBExt"/>
          <w:noProof w:val="0"/>
          <w:color w:val="auto"/>
        </w:rPr>
        <w:t>&lt;Article2&gt;</w:t>
      </w:r>
      <w:r w:rsidRPr="005B3ABD">
        <w:t>Article 225 – paragraph 1 – point b</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6AB1878" w14:textId="77777777" w:rsidTr="00882D36">
        <w:trPr>
          <w:jc w:val="center"/>
        </w:trPr>
        <w:tc>
          <w:tcPr>
            <w:tcW w:w="9752" w:type="dxa"/>
            <w:gridSpan w:val="2"/>
          </w:tcPr>
          <w:p w14:paraId="7F2A5927" w14:textId="77777777" w:rsidR="003B40DD" w:rsidRPr="005B3ABD" w:rsidRDefault="003B40DD" w:rsidP="00882D36">
            <w:pPr>
              <w:keepNext/>
            </w:pPr>
          </w:p>
        </w:tc>
      </w:tr>
      <w:tr w:rsidR="003B40DD" w:rsidRPr="005B3ABD" w14:paraId="4418EDE2" w14:textId="77777777" w:rsidTr="00882D36">
        <w:trPr>
          <w:jc w:val="center"/>
        </w:trPr>
        <w:tc>
          <w:tcPr>
            <w:tcW w:w="4876" w:type="dxa"/>
          </w:tcPr>
          <w:p w14:paraId="3CD66B44" w14:textId="77777777" w:rsidR="003B40DD" w:rsidRPr="005B3ABD" w:rsidRDefault="003B40DD" w:rsidP="00882D36">
            <w:pPr>
              <w:pStyle w:val="ColumnHeading"/>
              <w:keepNext/>
              <w:rPr>
                <w:color w:val="0000FA"/>
              </w:rPr>
            </w:pPr>
            <w:r w:rsidRPr="005B3ABD">
              <w:t>This text</w:t>
            </w:r>
          </w:p>
        </w:tc>
        <w:tc>
          <w:tcPr>
            <w:tcW w:w="4876" w:type="dxa"/>
          </w:tcPr>
          <w:p w14:paraId="08DDE7F9" w14:textId="77777777" w:rsidR="003B40DD" w:rsidRPr="005B3ABD" w:rsidRDefault="003B40DD" w:rsidP="00882D36">
            <w:pPr>
              <w:pStyle w:val="ColumnHeading"/>
              <w:keepNext/>
              <w:rPr>
                <w:color w:val="0000F5"/>
              </w:rPr>
            </w:pPr>
            <w:r w:rsidRPr="005B3ABD">
              <w:t>Amendment</w:t>
            </w:r>
          </w:p>
        </w:tc>
      </w:tr>
      <w:tr w:rsidR="003B40DD" w:rsidRPr="005B3ABD" w14:paraId="1A253B6F" w14:textId="77777777" w:rsidTr="00882D36">
        <w:trPr>
          <w:jc w:val="center"/>
        </w:trPr>
        <w:tc>
          <w:tcPr>
            <w:tcW w:w="4876" w:type="dxa"/>
          </w:tcPr>
          <w:p w14:paraId="0B6ADA4F" w14:textId="77777777" w:rsidR="003B40DD" w:rsidRPr="005B3ABD" w:rsidRDefault="003B40DD" w:rsidP="00882D36">
            <w:pPr>
              <w:pStyle w:val="Normal6"/>
              <w:rPr>
                <w:color w:val="0000FA"/>
              </w:rPr>
            </w:pPr>
          </w:p>
        </w:tc>
        <w:tc>
          <w:tcPr>
            <w:tcW w:w="4876" w:type="dxa"/>
          </w:tcPr>
          <w:p w14:paraId="1D45CF0F" w14:textId="77777777" w:rsidR="003B40DD" w:rsidRPr="005B3ABD" w:rsidRDefault="003B40DD" w:rsidP="00882D36">
            <w:pPr>
              <w:pStyle w:val="Normal6"/>
              <w:rPr>
                <w:color w:val="000005"/>
                <w:szCs w:val="24"/>
              </w:rPr>
            </w:pPr>
            <w:r w:rsidRPr="005B3ABD">
              <w:rPr>
                <w:b/>
                <w:i/>
              </w:rPr>
              <w:t>(27 a)</w:t>
            </w:r>
            <w:r w:rsidRPr="005B3ABD">
              <w:rPr>
                <w:b/>
                <w:i/>
              </w:rPr>
              <w:tab/>
              <w:t>In article 225(1), point (b) is replaced by the following:</w:t>
            </w:r>
          </w:p>
        </w:tc>
      </w:tr>
      <w:tr w:rsidR="003B40DD" w:rsidRPr="005B3ABD" w14:paraId="6F6D0B6C" w14:textId="77777777" w:rsidTr="00882D36">
        <w:trPr>
          <w:jc w:val="center"/>
        </w:trPr>
        <w:tc>
          <w:tcPr>
            <w:tcW w:w="4876" w:type="dxa"/>
          </w:tcPr>
          <w:p w14:paraId="2165C1A8" w14:textId="77777777" w:rsidR="003B40DD" w:rsidRPr="005B3ABD" w:rsidRDefault="003B40DD" w:rsidP="00882D36">
            <w:pPr>
              <w:pStyle w:val="Normal6"/>
              <w:rPr>
                <w:color w:val="0000FA"/>
              </w:rPr>
            </w:pPr>
            <w:r w:rsidRPr="005B3ABD">
              <w:t xml:space="preserve">(b) by </w:t>
            </w:r>
            <w:r w:rsidRPr="005B3ABD">
              <w:rPr>
                <w:b/>
                <w:bCs/>
                <w:i/>
                <w:iCs/>
              </w:rPr>
              <w:t>30 June 2014</w:t>
            </w:r>
            <w:r w:rsidRPr="005B3ABD">
              <w:t xml:space="preserve"> and also by 31 December </w:t>
            </w:r>
            <w:r w:rsidRPr="005B3ABD">
              <w:rPr>
                <w:b/>
                <w:bCs/>
                <w:i/>
                <w:iCs/>
              </w:rPr>
              <w:t>2018</w:t>
            </w:r>
            <w:r w:rsidRPr="005B3ABD">
              <w:t>, on the development of the market situation in the milk and milk products sector, and in particular on the operation of Articles 148 to 151, Article 152(3) and Article 157(3), assessing in particular the effects on milk producers and milk production in disadvantaged regions in connection with the general objective of maintaining production in such regions, and covering potential incentives to encourage farmers to enter into joint production agreements, together with any appropriate proposals; the report shall be accompanied by any appropriate proposal."</w:t>
            </w:r>
          </w:p>
        </w:tc>
        <w:tc>
          <w:tcPr>
            <w:tcW w:w="4876" w:type="dxa"/>
          </w:tcPr>
          <w:p w14:paraId="57C30393" w14:textId="77777777" w:rsidR="003B40DD" w:rsidRPr="005B3ABD" w:rsidRDefault="003B40DD" w:rsidP="00882D36">
            <w:pPr>
              <w:pStyle w:val="Normal6"/>
              <w:rPr>
                <w:szCs w:val="24"/>
              </w:rPr>
            </w:pPr>
            <w:r w:rsidRPr="005B3ABD">
              <w:t xml:space="preserve">“(b) by </w:t>
            </w:r>
            <w:r w:rsidRPr="005B3ABD">
              <w:rPr>
                <w:b/>
                <w:bCs/>
                <w:i/>
                <w:iCs/>
              </w:rPr>
              <w:t>31 December 2018, 31 December 2021</w:t>
            </w:r>
            <w:r w:rsidRPr="005B3ABD">
              <w:t xml:space="preserve"> and also by 31 December </w:t>
            </w:r>
            <w:r w:rsidRPr="005B3ABD">
              <w:rPr>
                <w:b/>
                <w:bCs/>
                <w:i/>
                <w:iCs/>
              </w:rPr>
              <w:t>2024</w:t>
            </w:r>
            <w:r w:rsidRPr="005B3ABD">
              <w:t>, on the development of the market situation in the milk and milk products sector, and in particular on the operation of Articles 148 to 151, Article 152(3) and Article 157(3), assessing in particular the effects on milk producers and milk production in disadvantaged regions in connection with the general objective of maintaining production in such regions, and covering potential incentives to encourage farmers to enter into joint production agreements, together with any appropriate proposals; the report shall be accompanied by any appropriate proposal”</w:t>
            </w:r>
          </w:p>
        </w:tc>
      </w:tr>
    </w:tbl>
    <w:p w14:paraId="455C131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8551FB6" w14:textId="77777777" w:rsidR="003B40DD" w:rsidRPr="005B3ABD" w:rsidRDefault="003B40DD" w:rsidP="003B40DD">
      <w:pPr>
        <w:pStyle w:val="CrossRef"/>
      </w:pPr>
      <w:r w:rsidRPr="005B3ABD">
        <w:t>(https://eur-lex.europa.eu/legal-content/EN/TXT/?uri=CELEX:02013R1308-20180101)</w:t>
      </w:r>
    </w:p>
    <w:p w14:paraId="74AE7875"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4501DB5" w14:textId="77777777" w:rsidR="003B40DD" w:rsidRPr="005B3ABD" w:rsidRDefault="003B40DD" w:rsidP="003B40DD">
      <w:pPr>
        <w:pStyle w:val="Normal12Italic"/>
      </w:pPr>
      <w:r w:rsidRPr="005B3ABD">
        <w:t>Managing the exit from the milk quota scheme was hazardous to say the least. The Commission should continue to account for the mobilisation of levers that are made available to Member States to ensure a better organisation of producers, but also for its own actions in terms of crisis management.</w:t>
      </w:r>
    </w:p>
    <w:p w14:paraId="709096AC" w14:textId="77777777" w:rsidR="003B40DD" w:rsidRPr="005B3ABD" w:rsidRDefault="003B40DD" w:rsidP="003B40DD">
      <w:r w:rsidRPr="005B3ABD">
        <w:rPr>
          <w:rStyle w:val="HideTWBExt"/>
          <w:noProof w:val="0"/>
          <w:color w:val="auto"/>
        </w:rPr>
        <w:t>&lt;/Amend&gt;</w:t>
      </w:r>
    </w:p>
    <w:p w14:paraId="57C00182"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72</w:t>
      </w:r>
      <w:r w:rsidRPr="005B3ABD">
        <w:rPr>
          <w:rStyle w:val="HideTWBExt"/>
          <w:b w:val="0"/>
          <w:noProof w:val="0"/>
          <w:color w:val="auto"/>
        </w:rPr>
        <w:t>&lt;/NumAm&gt;</w:t>
      </w:r>
    </w:p>
    <w:p w14:paraId="7C06AA6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6C4D50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27 b (new)</w:t>
      </w:r>
      <w:r w:rsidRPr="005B3ABD">
        <w:rPr>
          <w:rStyle w:val="HideTWBExt"/>
          <w:b w:val="0"/>
          <w:noProof w:val="0"/>
          <w:color w:val="auto"/>
        </w:rPr>
        <w:t>&lt;/Article&gt;</w:t>
      </w:r>
    </w:p>
    <w:p w14:paraId="682DB85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D070940" w14:textId="77777777" w:rsidR="003B40DD" w:rsidRPr="005B3ABD" w:rsidRDefault="003B40DD" w:rsidP="003B40DD">
      <w:r w:rsidRPr="005B3ABD">
        <w:rPr>
          <w:rStyle w:val="HideTWBExt"/>
          <w:noProof w:val="0"/>
          <w:color w:val="auto"/>
        </w:rPr>
        <w:t>&lt;Article2&gt;</w:t>
      </w:r>
      <w:r w:rsidRPr="005B3ABD">
        <w:t>Article 225 – paragraph 1 – point d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A22A24A" w14:textId="77777777" w:rsidTr="00882D36">
        <w:trPr>
          <w:jc w:val="center"/>
        </w:trPr>
        <w:tc>
          <w:tcPr>
            <w:tcW w:w="9752" w:type="dxa"/>
            <w:gridSpan w:val="2"/>
          </w:tcPr>
          <w:p w14:paraId="51FAB5F0" w14:textId="77777777" w:rsidR="003B40DD" w:rsidRPr="005B3ABD" w:rsidRDefault="003B40DD" w:rsidP="00882D36">
            <w:pPr>
              <w:keepNext/>
            </w:pPr>
          </w:p>
        </w:tc>
      </w:tr>
      <w:tr w:rsidR="003B40DD" w:rsidRPr="005B3ABD" w14:paraId="566489BC" w14:textId="77777777" w:rsidTr="00882D36">
        <w:trPr>
          <w:jc w:val="center"/>
        </w:trPr>
        <w:tc>
          <w:tcPr>
            <w:tcW w:w="4876" w:type="dxa"/>
          </w:tcPr>
          <w:p w14:paraId="3DB8AC27" w14:textId="77777777" w:rsidR="003B40DD" w:rsidRPr="005B3ABD" w:rsidRDefault="003B40DD" w:rsidP="00882D36">
            <w:pPr>
              <w:pStyle w:val="ColumnHeading"/>
              <w:keepNext/>
              <w:rPr>
                <w:color w:val="0000FA"/>
              </w:rPr>
            </w:pPr>
            <w:r w:rsidRPr="005B3ABD">
              <w:t>Text proposed by the Commission</w:t>
            </w:r>
          </w:p>
        </w:tc>
        <w:tc>
          <w:tcPr>
            <w:tcW w:w="4876" w:type="dxa"/>
          </w:tcPr>
          <w:p w14:paraId="70B121A4" w14:textId="77777777" w:rsidR="003B40DD" w:rsidRPr="005B3ABD" w:rsidRDefault="003B40DD" w:rsidP="00882D36">
            <w:pPr>
              <w:pStyle w:val="ColumnHeading"/>
              <w:keepNext/>
              <w:rPr>
                <w:color w:val="0000F5"/>
              </w:rPr>
            </w:pPr>
            <w:r w:rsidRPr="005B3ABD">
              <w:t>Amendment</w:t>
            </w:r>
          </w:p>
        </w:tc>
      </w:tr>
      <w:tr w:rsidR="003B40DD" w:rsidRPr="005B3ABD" w14:paraId="04594657" w14:textId="77777777" w:rsidTr="00882D36">
        <w:trPr>
          <w:jc w:val="center"/>
        </w:trPr>
        <w:tc>
          <w:tcPr>
            <w:tcW w:w="4876" w:type="dxa"/>
          </w:tcPr>
          <w:p w14:paraId="6A04E68F" w14:textId="77777777" w:rsidR="003B40DD" w:rsidRPr="005B3ABD" w:rsidRDefault="003B40DD" w:rsidP="00882D36">
            <w:pPr>
              <w:pStyle w:val="Normal6"/>
              <w:rPr>
                <w:color w:val="0000FA"/>
              </w:rPr>
            </w:pPr>
          </w:p>
        </w:tc>
        <w:tc>
          <w:tcPr>
            <w:tcW w:w="4876" w:type="dxa"/>
          </w:tcPr>
          <w:p w14:paraId="590DE00D" w14:textId="77777777" w:rsidR="003B40DD" w:rsidRPr="005B3ABD" w:rsidRDefault="003B40DD" w:rsidP="00882D36">
            <w:pPr>
              <w:pStyle w:val="Normal6"/>
              <w:rPr>
                <w:color w:val="000005"/>
                <w:szCs w:val="24"/>
              </w:rPr>
            </w:pPr>
            <w:r w:rsidRPr="005B3ABD">
              <w:rPr>
                <w:b/>
                <w:i/>
              </w:rPr>
              <w:t>(27 b)</w:t>
            </w:r>
            <w:r w:rsidRPr="005B3ABD">
              <w:rPr>
                <w:b/>
                <w:i/>
              </w:rPr>
              <w:tab/>
              <w:t>In Article 225, the following point is added:</w:t>
            </w:r>
          </w:p>
        </w:tc>
      </w:tr>
      <w:tr w:rsidR="003B40DD" w:rsidRPr="005B3ABD" w14:paraId="7FF7603C" w14:textId="77777777" w:rsidTr="00882D36">
        <w:trPr>
          <w:jc w:val="center"/>
        </w:trPr>
        <w:tc>
          <w:tcPr>
            <w:tcW w:w="4876" w:type="dxa"/>
          </w:tcPr>
          <w:p w14:paraId="6FEC357E" w14:textId="77777777" w:rsidR="003B40DD" w:rsidRPr="005B3ABD" w:rsidRDefault="003B40DD" w:rsidP="00882D36">
            <w:pPr>
              <w:pStyle w:val="Normal6"/>
              <w:rPr>
                <w:color w:val="0000FA"/>
              </w:rPr>
            </w:pPr>
          </w:p>
        </w:tc>
        <w:tc>
          <w:tcPr>
            <w:tcW w:w="4876" w:type="dxa"/>
          </w:tcPr>
          <w:p w14:paraId="53CD2453" w14:textId="77777777" w:rsidR="003B40DD" w:rsidRPr="005B3ABD" w:rsidRDefault="003B40DD" w:rsidP="00882D36">
            <w:pPr>
              <w:pStyle w:val="Normal6"/>
              <w:rPr>
                <w:szCs w:val="24"/>
              </w:rPr>
            </w:pPr>
            <w:r w:rsidRPr="005B3ABD">
              <w:rPr>
                <w:b/>
                <w:i/>
              </w:rPr>
              <w:t>(d a) By 30 June 2019, on the Commission’s strategy to use the provisions in the Regulation effectively to prevent and manage internal agricultural market crises that may occur following the United Kingdom’s withdrawal.</w:t>
            </w:r>
          </w:p>
        </w:tc>
      </w:tr>
    </w:tbl>
    <w:p w14:paraId="5033E711"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2344805"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ABBE7A5" w14:textId="77777777" w:rsidR="003B40DD" w:rsidRPr="005B3ABD" w:rsidRDefault="003B40DD" w:rsidP="003B40DD">
      <w:pPr>
        <w:pStyle w:val="Normal12Italic"/>
      </w:pPr>
      <w:r w:rsidRPr="005B3ABD">
        <w:t>This article insists that the Commission establish reports on topics pertaining to the implementation of the Regulation. Considering the Commission’s subdued activity in terms of evaluating the first pillar of the CAP and in view of Brexit, it is important that the Commission proposes a crisis prevention and management strategy once the main Brexit scenarios will have been established.</w:t>
      </w:r>
    </w:p>
    <w:p w14:paraId="75B27A48" w14:textId="77777777" w:rsidR="003B40DD" w:rsidRPr="005B3ABD" w:rsidRDefault="003B40DD" w:rsidP="003B40DD">
      <w:r w:rsidRPr="005B3ABD">
        <w:rPr>
          <w:rStyle w:val="HideTWBExt"/>
          <w:noProof w:val="0"/>
          <w:color w:val="auto"/>
        </w:rPr>
        <w:t>&lt;/Amend&gt;</w:t>
      </w:r>
    </w:p>
    <w:p w14:paraId="4FFA535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73</w:t>
      </w:r>
      <w:r w:rsidRPr="005B3ABD">
        <w:rPr>
          <w:rStyle w:val="HideTWBExt"/>
          <w:b w:val="0"/>
          <w:noProof w:val="0"/>
          <w:color w:val="auto"/>
        </w:rPr>
        <w:t>&lt;/NumAm&gt;</w:t>
      </w:r>
    </w:p>
    <w:p w14:paraId="515CCC5C"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018BA6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27 c (new)</w:t>
      </w:r>
      <w:r w:rsidRPr="005B3ABD">
        <w:rPr>
          <w:rStyle w:val="HideTWBExt"/>
          <w:b w:val="0"/>
          <w:noProof w:val="0"/>
          <w:color w:val="auto"/>
        </w:rPr>
        <w:t>&lt;/Article&gt;</w:t>
      </w:r>
    </w:p>
    <w:p w14:paraId="7FB3676A"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0934CAA" w14:textId="77777777" w:rsidR="003B40DD" w:rsidRPr="005B3ABD" w:rsidRDefault="003B40DD" w:rsidP="003B40DD">
      <w:r w:rsidRPr="005B3ABD">
        <w:rPr>
          <w:rStyle w:val="HideTWBExt"/>
          <w:noProof w:val="0"/>
          <w:color w:val="auto"/>
        </w:rPr>
        <w:t>&lt;Article2&gt;</w:t>
      </w:r>
      <w:r w:rsidRPr="005B3ABD">
        <w:t>Article 225 – paragraph 1 – point d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ACF042D" w14:textId="77777777" w:rsidTr="00882D36">
        <w:trPr>
          <w:jc w:val="center"/>
        </w:trPr>
        <w:tc>
          <w:tcPr>
            <w:tcW w:w="9752" w:type="dxa"/>
            <w:gridSpan w:val="2"/>
          </w:tcPr>
          <w:p w14:paraId="4DF0D2AD" w14:textId="77777777" w:rsidR="003B40DD" w:rsidRPr="005B3ABD" w:rsidRDefault="003B40DD" w:rsidP="00882D36">
            <w:pPr>
              <w:keepNext/>
            </w:pPr>
          </w:p>
        </w:tc>
      </w:tr>
      <w:tr w:rsidR="003B40DD" w:rsidRPr="005B3ABD" w14:paraId="4B89BD2D" w14:textId="77777777" w:rsidTr="00882D36">
        <w:trPr>
          <w:jc w:val="center"/>
        </w:trPr>
        <w:tc>
          <w:tcPr>
            <w:tcW w:w="4876" w:type="dxa"/>
          </w:tcPr>
          <w:p w14:paraId="62DFF734" w14:textId="77777777" w:rsidR="003B40DD" w:rsidRPr="005B3ABD" w:rsidRDefault="003B40DD" w:rsidP="00882D36">
            <w:pPr>
              <w:pStyle w:val="ColumnHeading"/>
              <w:keepNext/>
              <w:rPr>
                <w:color w:val="0000FA"/>
              </w:rPr>
            </w:pPr>
            <w:r w:rsidRPr="005B3ABD">
              <w:t>Text proposed by the Commission</w:t>
            </w:r>
          </w:p>
        </w:tc>
        <w:tc>
          <w:tcPr>
            <w:tcW w:w="4876" w:type="dxa"/>
          </w:tcPr>
          <w:p w14:paraId="451B8352" w14:textId="77777777" w:rsidR="003B40DD" w:rsidRPr="005B3ABD" w:rsidRDefault="003B40DD" w:rsidP="00882D36">
            <w:pPr>
              <w:pStyle w:val="ColumnHeading"/>
              <w:keepNext/>
              <w:rPr>
                <w:color w:val="0000F5"/>
              </w:rPr>
            </w:pPr>
            <w:r w:rsidRPr="005B3ABD">
              <w:t>Amendment</w:t>
            </w:r>
          </w:p>
        </w:tc>
      </w:tr>
      <w:tr w:rsidR="003B40DD" w:rsidRPr="005B3ABD" w14:paraId="38814FB7" w14:textId="77777777" w:rsidTr="00882D36">
        <w:trPr>
          <w:jc w:val="center"/>
        </w:trPr>
        <w:tc>
          <w:tcPr>
            <w:tcW w:w="4876" w:type="dxa"/>
          </w:tcPr>
          <w:p w14:paraId="7E2B3FC2" w14:textId="77777777" w:rsidR="003B40DD" w:rsidRPr="005B3ABD" w:rsidRDefault="003B40DD" w:rsidP="00882D36">
            <w:pPr>
              <w:pStyle w:val="Normal6"/>
              <w:rPr>
                <w:color w:val="0000FA"/>
              </w:rPr>
            </w:pPr>
          </w:p>
        </w:tc>
        <w:tc>
          <w:tcPr>
            <w:tcW w:w="4876" w:type="dxa"/>
          </w:tcPr>
          <w:p w14:paraId="5C3A0291" w14:textId="77777777" w:rsidR="003B40DD" w:rsidRPr="005B3ABD" w:rsidRDefault="003B40DD" w:rsidP="00882D36">
            <w:pPr>
              <w:pStyle w:val="Normal6"/>
              <w:rPr>
                <w:color w:val="000005"/>
                <w:szCs w:val="24"/>
              </w:rPr>
            </w:pPr>
            <w:r w:rsidRPr="005B3ABD">
              <w:rPr>
                <w:b/>
                <w:i/>
              </w:rPr>
              <w:t>(27 c)</w:t>
            </w:r>
            <w:r w:rsidRPr="005B3ABD">
              <w:rPr>
                <w:b/>
                <w:i/>
              </w:rPr>
              <w:tab/>
              <w:t>In Article 225, the following point is added:</w:t>
            </w:r>
          </w:p>
        </w:tc>
      </w:tr>
      <w:tr w:rsidR="003B40DD" w:rsidRPr="005B3ABD" w14:paraId="119BE76D" w14:textId="77777777" w:rsidTr="00882D36">
        <w:trPr>
          <w:jc w:val="center"/>
        </w:trPr>
        <w:tc>
          <w:tcPr>
            <w:tcW w:w="4876" w:type="dxa"/>
          </w:tcPr>
          <w:p w14:paraId="53DBED8E" w14:textId="77777777" w:rsidR="003B40DD" w:rsidRPr="005B3ABD" w:rsidRDefault="003B40DD" w:rsidP="00882D36">
            <w:pPr>
              <w:pStyle w:val="Normal6"/>
              <w:rPr>
                <w:color w:val="0000FA"/>
              </w:rPr>
            </w:pPr>
          </w:p>
        </w:tc>
        <w:tc>
          <w:tcPr>
            <w:tcW w:w="4876" w:type="dxa"/>
          </w:tcPr>
          <w:p w14:paraId="373544C4" w14:textId="77777777" w:rsidR="003B40DD" w:rsidRPr="005B3ABD" w:rsidRDefault="003B40DD" w:rsidP="00882D36">
            <w:pPr>
              <w:pStyle w:val="Normal6"/>
              <w:rPr>
                <w:szCs w:val="24"/>
              </w:rPr>
            </w:pPr>
            <w:r w:rsidRPr="005B3ABD">
              <w:rPr>
                <w:b/>
                <w:i/>
              </w:rPr>
              <w:t>(d b) by 31 December 2019, on the definition of the different types of agricultural market crises so as to lay down the Commission’s performance framework for a better dialogue with the European Parliament and the Council.</w:t>
            </w:r>
          </w:p>
        </w:tc>
      </w:tr>
    </w:tbl>
    <w:p w14:paraId="2509FA5F"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AD6C3B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C1EF59B" w14:textId="77777777" w:rsidR="003B40DD" w:rsidRPr="005B3ABD" w:rsidRDefault="003B40DD" w:rsidP="003B40DD">
      <w:pPr>
        <w:pStyle w:val="Normal12Italic"/>
      </w:pPr>
      <w:r w:rsidRPr="005B3ABD">
        <w:t>A report is also requested for the Commission to establish a guideline for characterising agricultural market crises: this report shall form a basis for laying down a performance framework for the Commission and to enable it to intervene when necessary.</w:t>
      </w:r>
    </w:p>
    <w:p w14:paraId="7AC12900" w14:textId="77777777" w:rsidR="003B40DD" w:rsidRPr="005B3ABD" w:rsidRDefault="003B40DD" w:rsidP="003B40DD">
      <w:r w:rsidRPr="005B3ABD">
        <w:rPr>
          <w:rStyle w:val="HideTWBExt"/>
          <w:noProof w:val="0"/>
          <w:color w:val="auto"/>
        </w:rPr>
        <w:t>&lt;/Amend&gt;</w:t>
      </w:r>
    </w:p>
    <w:p w14:paraId="09894336"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74</w:t>
      </w:r>
      <w:r w:rsidRPr="005B3ABD">
        <w:rPr>
          <w:rStyle w:val="HideTWBExt"/>
          <w:b w:val="0"/>
          <w:noProof w:val="0"/>
          <w:color w:val="auto"/>
        </w:rPr>
        <w:t>&lt;/NumAm&gt;</w:t>
      </w:r>
    </w:p>
    <w:p w14:paraId="71E41F0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786E9B1"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27 d (new)</w:t>
      </w:r>
      <w:r w:rsidRPr="005B3ABD">
        <w:rPr>
          <w:rStyle w:val="HideTWBExt"/>
          <w:b w:val="0"/>
          <w:noProof w:val="0"/>
          <w:color w:val="auto"/>
        </w:rPr>
        <w:t>&lt;/Article&gt;</w:t>
      </w:r>
    </w:p>
    <w:p w14:paraId="6DC01446"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CD6AD9F" w14:textId="77777777" w:rsidR="003B40DD" w:rsidRPr="005B3ABD" w:rsidRDefault="003B40DD" w:rsidP="003B40DD">
      <w:r w:rsidRPr="005B3ABD">
        <w:rPr>
          <w:rStyle w:val="HideTWBExt"/>
          <w:noProof w:val="0"/>
          <w:color w:val="auto"/>
        </w:rPr>
        <w:t>&lt;Article2&gt;</w:t>
      </w:r>
      <w:r w:rsidRPr="005B3ABD">
        <w:t>Article 225 – paragraph 1 – point d c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5D4BE57" w14:textId="77777777" w:rsidTr="00882D36">
        <w:trPr>
          <w:jc w:val="center"/>
        </w:trPr>
        <w:tc>
          <w:tcPr>
            <w:tcW w:w="9752" w:type="dxa"/>
            <w:gridSpan w:val="2"/>
          </w:tcPr>
          <w:p w14:paraId="52CFB80D" w14:textId="77777777" w:rsidR="003B40DD" w:rsidRPr="005B3ABD" w:rsidRDefault="003B40DD" w:rsidP="00882D36">
            <w:pPr>
              <w:keepNext/>
            </w:pPr>
          </w:p>
        </w:tc>
      </w:tr>
      <w:tr w:rsidR="003B40DD" w:rsidRPr="005B3ABD" w14:paraId="6520B82A" w14:textId="77777777" w:rsidTr="00882D36">
        <w:trPr>
          <w:jc w:val="center"/>
        </w:trPr>
        <w:tc>
          <w:tcPr>
            <w:tcW w:w="4876" w:type="dxa"/>
          </w:tcPr>
          <w:p w14:paraId="4D96CD7F" w14:textId="77777777" w:rsidR="003B40DD" w:rsidRPr="005B3ABD" w:rsidRDefault="003B40DD" w:rsidP="00882D36">
            <w:pPr>
              <w:pStyle w:val="ColumnHeading"/>
              <w:keepNext/>
              <w:rPr>
                <w:color w:val="0000FA"/>
              </w:rPr>
            </w:pPr>
            <w:r w:rsidRPr="005B3ABD">
              <w:t>Text proposed by the Commission</w:t>
            </w:r>
          </w:p>
        </w:tc>
        <w:tc>
          <w:tcPr>
            <w:tcW w:w="4876" w:type="dxa"/>
          </w:tcPr>
          <w:p w14:paraId="2D565C53" w14:textId="77777777" w:rsidR="003B40DD" w:rsidRPr="005B3ABD" w:rsidRDefault="003B40DD" w:rsidP="00882D36">
            <w:pPr>
              <w:pStyle w:val="ColumnHeading"/>
              <w:keepNext/>
              <w:rPr>
                <w:color w:val="0000F5"/>
              </w:rPr>
            </w:pPr>
            <w:r w:rsidRPr="005B3ABD">
              <w:t>Amendment</w:t>
            </w:r>
          </w:p>
        </w:tc>
      </w:tr>
      <w:tr w:rsidR="003B40DD" w:rsidRPr="005B3ABD" w14:paraId="25FE4F71" w14:textId="77777777" w:rsidTr="00882D36">
        <w:trPr>
          <w:jc w:val="center"/>
        </w:trPr>
        <w:tc>
          <w:tcPr>
            <w:tcW w:w="4876" w:type="dxa"/>
          </w:tcPr>
          <w:p w14:paraId="3345FF32" w14:textId="77777777" w:rsidR="003B40DD" w:rsidRPr="005B3ABD" w:rsidRDefault="003B40DD" w:rsidP="00882D36">
            <w:pPr>
              <w:pStyle w:val="Normal6"/>
              <w:rPr>
                <w:color w:val="0000FA"/>
              </w:rPr>
            </w:pPr>
          </w:p>
        </w:tc>
        <w:tc>
          <w:tcPr>
            <w:tcW w:w="4876" w:type="dxa"/>
          </w:tcPr>
          <w:p w14:paraId="1F5BF623" w14:textId="77777777" w:rsidR="003B40DD" w:rsidRPr="005B3ABD" w:rsidRDefault="003B40DD" w:rsidP="00882D36">
            <w:pPr>
              <w:pStyle w:val="Normal6"/>
              <w:rPr>
                <w:color w:val="000005"/>
                <w:szCs w:val="24"/>
              </w:rPr>
            </w:pPr>
            <w:r w:rsidRPr="005B3ABD">
              <w:rPr>
                <w:b/>
                <w:i/>
              </w:rPr>
              <w:t>(27 d)</w:t>
            </w:r>
            <w:r w:rsidRPr="005B3ABD">
              <w:rPr>
                <w:b/>
                <w:i/>
              </w:rPr>
              <w:tab/>
              <w:t>In Article 225, the following point is added:</w:t>
            </w:r>
          </w:p>
        </w:tc>
      </w:tr>
      <w:tr w:rsidR="003B40DD" w:rsidRPr="005B3ABD" w14:paraId="0632F289" w14:textId="77777777" w:rsidTr="00882D36">
        <w:trPr>
          <w:jc w:val="center"/>
        </w:trPr>
        <w:tc>
          <w:tcPr>
            <w:tcW w:w="4876" w:type="dxa"/>
          </w:tcPr>
          <w:p w14:paraId="283A7AC5" w14:textId="77777777" w:rsidR="003B40DD" w:rsidRPr="005B3ABD" w:rsidRDefault="003B40DD" w:rsidP="00882D36">
            <w:pPr>
              <w:pStyle w:val="Normal6"/>
              <w:rPr>
                <w:color w:val="0000FA"/>
              </w:rPr>
            </w:pPr>
          </w:p>
        </w:tc>
        <w:tc>
          <w:tcPr>
            <w:tcW w:w="4876" w:type="dxa"/>
          </w:tcPr>
          <w:p w14:paraId="66848D70" w14:textId="77777777" w:rsidR="003B40DD" w:rsidRPr="005B3ABD" w:rsidRDefault="003B40DD" w:rsidP="00882D36">
            <w:pPr>
              <w:pStyle w:val="Normal6"/>
              <w:rPr>
                <w:szCs w:val="24"/>
              </w:rPr>
            </w:pPr>
            <w:r w:rsidRPr="005B3ABD">
              <w:rPr>
                <w:b/>
                <w:i/>
              </w:rPr>
              <w:t>(d c) by 31 December 2020, on the potential of new information and communication technologies to modernise the Commission’s relations with national authorities and companies, so as to ensure better market transparency in particular</w:t>
            </w:r>
          </w:p>
        </w:tc>
      </w:tr>
    </w:tbl>
    <w:p w14:paraId="6B8F140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AFF914D"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9762B7C" w14:textId="77777777" w:rsidR="003B40DD" w:rsidRPr="005B3ABD" w:rsidRDefault="003B40DD" w:rsidP="003B40DD">
      <w:pPr>
        <w:pStyle w:val="Normal12Italic"/>
      </w:pPr>
      <w:r w:rsidRPr="005B3ABD">
        <w:t>Although simplification and modernisation are the keywords in this reform, the Commission has made no concrete proposal to use new information and communication technologies to improve interaction between it, Member States and companies, particularly with regard to market transparency.</w:t>
      </w:r>
    </w:p>
    <w:p w14:paraId="756F1F44" w14:textId="77777777" w:rsidR="003B40DD" w:rsidRPr="005B3ABD" w:rsidRDefault="003B40DD" w:rsidP="003B40DD">
      <w:r w:rsidRPr="005B3ABD">
        <w:rPr>
          <w:rStyle w:val="HideTWBExt"/>
          <w:noProof w:val="0"/>
          <w:color w:val="auto"/>
        </w:rPr>
        <w:t>&lt;/Amend&gt;</w:t>
      </w:r>
    </w:p>
    <w:p w14:paraId="04CCE33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75</w:t>
      </w:r>
      <w:r w:rsidRPr="005B3ABD">
        <w:rPr>
          <w:rStyle w:val="HideTWBExt"/>
          <w:b w:val="0"/>
          <w:noProof w:val="0"/>
          <w:color w:val="auto"/>
        </w:rPr>
        <w:t>&lt;/NumAm&gt;</w:t>
      </w:r>
    </w:p>
    <w:p w14:paraId="43364B3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4EF5AD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28 a (new)</w:t>
      </w:r>
      <w:r w:rsidRPr="005B3ABD">
        <w:rPr>
          <w:rStyle w:val="HideTWBExt"/>
          <w:b w:val="0"/>
          <w:noProof w:val="0"/>
          <w:color w:val="auto"/>
        </w:rPr>
        <w:t>&lt;/Article&gt;</w:t>
      </w:r>
    </w:p>
    <w:p w14:paraId="3D7C9AE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04EB374" w14:textId="77777777" w:rsidR="003B40DD" w:rsidRPr="005B3ABD" w:rsidRDefault="003B40DD" w:rsidP="003B40DD">
      <w:r w:rsidRPr="005B3ABD">
        <w:rPr>
          <w:rStyle w:val="HideTWBExt"/>
          <w:noProof w:val="0"/>
          <w:color w:val="auto"/>
        </w:rPr>
        <w:t>&lt;Article2&gt;</w:t>
      </w:r>
      <w:r w:rsidRPr="005B3ABD">
        <w:t>Recital 226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BCC7049" w14:textId="77777777" w:rsidTr="00882D36">
        <w:trPr>
          <w:jc w:val="center"/>
        </w:trPr>
        <w:tc>
          <w:tcPr>
            <w:tcW w:w="9752" w:type="dxa"/>
            <w:gridSpan w:val="2"/>
          </w:tcPr>
          <w:p w14:paraId="164763CD" w14:textId="77777777" w:rsidR="003B40DD" w:rsidRPr="005B3ABD" w:rsidRDefault="003B40DD" w:rsidP="00882D36">
            <w:pPr>
              <w:keepNext/>
            </w:pPr>
          </w:p>
        </w:tc>
      </w:tr>
      <w:tr w:rsidR="003B40DD" w:rsidRPr="005B3ABD" w14:paraId="3BD1C684" w14:textId="77777777" w:rsidTr="00882D36">
        <w:trPr>
          <w:jc w:val="center"/>
        </w:trPr>
        <w:tc>
          <w:tcPr>
            <w:tcW w:w="4876" w:type="dxa"/>
          </w:tcPr>
          <w:p w14:paraId="7CFC7EED" w14:textId="77777777" w:rsidR="003B40DD" w:rsidRPr="005B3ABD" w:rsidRDefault="003B40DD" w:rsidP="00882D36">
            <w:pPr>
              <w:pStyle w:val="ColumnHeading"/>
              <w:keepNext/>
              <w:rPr>
                <w:color w:val="0000FA"/>
              </w:rPr>
            </w:pPr>
            <w:r w:rsidRPr="005B3ABD">
              <w:t>Text proposed by the Commission</w:t>
            </w:r>
          </w:p>
        </w:tc>
        <w:tc>
          <w:tcPr>
            <w:tcW w:w="4876" w:type="dxa"/>
          </w:tcPr>
          <w:p w14:paraId="7D9E4534" w14:textId="77777777" w:rsidR="003B40DD" w:rsidRPr="005B3ABD" w:rsidRDefault="003B40DD" w:rsidP="00882D36">
            <w:pPr>
              <w:pStyle w:val="ColumnHeading"/>
              <w:keepNext/>
              <w:rPr>
                <w:color w:val="0000F5"/>
              </w:rPr>
            </w:pPr>
            <w:r w:rsidRPr="005B3ABD">
              <w:t>Amendment</w:t>
            </w:r>
          </w:p>
        </w:tc>
      </w:tr>
      <w:tr w:rsidR="003B40DD" w:rsidRPr="005B3ABD" w14:paraId="356D77B7" w14:textId="77777777" w:rsidTr="00882D36">
        <w:trPr>
          <w:jc w:val="center"/>
        </w:trPr>
        <w:tc>
          <w:tcPr>
            <w:tcW w:w="4876" w:type="dxa"/>
          </w:tcPr>
          <w:p w14:paraId="79B97BB5" w14:textId="77777777" w:rsidR="003B40DD" w:rsidRPr="005B3ABD" w:rsidRDefault="003B40DD" w:rsidP="00882D36">
            <w:pPr>
              <w:pStyle w:val="Normal6"/>
              <w:rPr>
                <w:color w:val="0000FA"/>
              </w:rPr>
            </w:pPr>
          </w:p>
        </w:tc>
        <w:tc>
          <w:tcPr>
            <w:tcW w:w="4876" w:type="dxa"/>
          </w:tcPr>
          <w:p w14:paraId="5BCBD313" w14:textId="77777777" w:rsidR="003B40DD" w:rsidRPr="005B3ABD" w:rsidRDefault="003B40DD" w:rsidP="00882D36">
            <w:pPr>
              <w:pStyle w:val="Normal6"/>
              <w:rPr>
                <w:color w:val="000005"/>
                <w:szCs w:val="24"/>
              </w:rPr>
            </w:pPr>
            <w:r w:rsidRPr="005B3ABD">
              <w:rPr>
                <w:b/>
                <w:i/>
              </w:rPr>
              <w:t>(28 a)</w:t>
            </w:r>
            <w:r w:rsidRPr="005B3ABD">
              <w:rPr>
                <w:b/>
                <w:i/>
              </w:rPr>
              <w:tab/>
              <w:t>The following Article is inserted:</w:t>
            </w:r>
          </w:p>
        </w:tc>
      </w:tr>
      <w:tr w:rsidR="003B40DD" w:rsidRPr="005B3ABD" w14:paraId="5643BD6B" w14:textId="77777777" w:rsidTr="00882D36">
        <w:trPr>
          <w:jc w:val="center"/>
        </w:trPr>
        <w:tc>
          <w:tcPr>
            <w:tcW w:w="4876" w:type="dxa"/>
          </w:tcPr>
          <w:p w14:paraId="43966BF7" w14:textId="77777777" w:rsidR="003B40DD" w:rsidRPr="005B3ABD" w:rsidRDefault="003B40DD" w:rsidP="00882D36">
            <w:pPr>
              <w:pStyle w:val="Normal6"/>
              <w:rPr>
                <w:color w:val="0000FA"/>
              </w:rPr>
            </w:pPr>
          </w:p>
        </w:tc>
        <w:tc>
          <w:tcPr>
            <w:tcW w:w="4876" w:type="dxa"/>
          </w:tcPr>
          <w:p w14:paraId="7CB8BD51" w14:textId="77777777" w:rsidR="003B40DD" w:rsidRPr="005B3ABD" w:rsidRDefault="003B40DD" w:rsidP="00882D36">
            <w:pPr>
              <w:pStyle w:val="Normal6"/>
              <w:rPr>
                <w:color w:val="000005"/>
                <w:szCs w:val="24"/>
              </w:rPr>
            </w:pPr>
            <w:r w:rsidRPr="005B3ABD">
              <w:rPr>
                <w:b/>
                <w:i/>
              </w:rPr>
              <w:t>Article 226 a</w:t>
            </w:r>
          </w:p>
        </w:tc>
      </w:tr>
      <w:tr w:rsidR="003B40DD" w:rsidRPr="005B3ABD" w14:paraId="148D69BC" w14:textId="77777777" w:rsidTr="00882D36">
        <w:trPr>
          <w:jc w:val="center"/>
        </w:trPr>
        <w:tc>
          <w:tcPr>
            <w:tcW w:w="4876" w:type="dxa"/>
          </w:tcPr>
          <w:p w14:paraId="7FC68869" w14:textId="77777777" w:rsidR="003B40DD" w:rsidRPr="005B3ABD" w:rsidRDefault="003B40DD" w:rsidP="00882D36">
            <w:pPr>
              <w:pStyle w:val="Normal6"/>
              <w:rPr>
                <w:color w:val="0000FA"/>
              </w:rPr>
            </w:pPr>
          </w:p>
        </w:tc>
        <w:tc>
          <w:tcPr>
            <w:tcW w:w="4876" w:type="dxa"/>
          </w:tcPr>
          <w:p w14:paraId="7E6C1C7A" w14:textId="77777777" w:rsidR="003B40DD" w:rsidRPr="005B3ABD" w:rsidRDefault="003B40DD" w:rsidP="00882D36">
            <w:pPr>
              <w:pStyle w:val="Normal6"/>
              <w:rPr>
                <w:color w:val="000005"/>
                <w:szCs w:val="24"/>
              </w:rPr>
            </w:pPr>
            <w:r w:rsidRPr="005B3ABD">
              <w:rPr>
                <w:b/>
                <w:i/>
              </w:rPr>
              <w:t>Crisis Management Plan</w:t>
            </w:r>
          </w:p>
        </w:tc>
      </w:tr>
      <w:tr w:rsidR="003B40DD" w:rsidRPr="005B3ABD" w14:paraId="25C47EE9" w14:textId="77777777" w:rsidTr="00882D36">
        <w:trPr>
          <w:jc w:val="center"/>
        </w:trPr>
        <w:tc>
          <w:tcPr>
            <w:tcW w:w="4876" w:type="dxa"/>
          </w:tcPr>
          <w:p w14:paraId="101E1D0D" w14:textId="77777777" w:rsidR="003B40DD" w:rsidRPr="005B3ABD" w:rsidRDefault="003B40DD" w:rsidP="00882D36">
            <w:pPr>
              <w:pStyle w:val="Normal6"/>
              <w:rPr>
                <w:color w:val="0000FA"/>
              </w:rPr>
            </w:pPr>
          </w:p>
        </w:tc>
        <w:tc>
          <w:tcPr>
            <w:tcW w:w="4876" w:type="dxa"/>
          </w:tcPr>
          <w:p w14:paraId="6E4D47B3" w14:textId="77777777" w:rsidR="003B40DD" w:rsidRPr="005B3ABD" w:rsidRDefault="003B40DD" w:rsidP="00882D36">
            <w:pPr>
              <w:pStyle w:val="Normal6"/>
              <w:rPr>
                <w:color w:val="000005"/>
                <w:szCs w:val="24"/>
              </w:rPr>
            </w:pPr>
            <w:r w:rsidRPr="005B3ABD">
              <w:rPr>
                <w:b/>
                <w:i/>
              </w:rPr>
              <w:t>1. The Commission shall establish a crisis management plan to implement Union aid financed by EAGF to allow the fulfilment of the CAP objectives defined in Article 39 of the Treaty on the Functioning of the European Union, in particular the market stabilisation objective.</w:t>
            </w:r>
          </w:p>
        </w:tc>
      </w:tr>
      <w:tr w:rsidR="003B40DD" w:rsidRPr="005B3ABD" w14:paraId="68EEDFE2" w14:textId="77777777" w:rsidTr="00882D36">
        <w:trPr>
          <w:jc w:val="center"/>
        </w:trPr>
        <w:tc>
          <w:tcPr>
            <w:tcW w:w="4876" w:type="dxa"/>
          </w:tcPr>
          <w:p w14:paraId="7E45853C" w14:textId="77777777" w:rsidR="003B40DD" w:rsidRPr="005B3ABD" w:rsidRDefault="003B40DD" w:rsidP="00882D36">
            <w:pPr>
              <w:pStyle w:val="Normal6"/>
              <w:rPr>
                <w:color w:val="0000FA"/>
              </w:rPr>
            </w:pPr>
          </w:p>
        </w:tc>
        <w:tc>
          <w:tcPr>
            <w:tcW w:w="4876" w:type="dxa"/>
          </w:tcPr>
          <w:p w14:paraId="4C1551C5" w14:textId="77777777" w:rsidR="003B40DD" w:rsidRPr="005B3ABD" w:rsidRDefault="003B40DD" w:rsidP="00882D36">
            <w:pPr>
              <w:pStyle w:val="Normal6"/>
              <w:rPr>
                <w:color w:val="000005"/>
                <w:szCs w:val="24"/>
              </w:rPr>
            </w:pPr>
            <w:r w:rsidRPr="005B3ABD">
              <w:rPr>
                <w:b/>
                <w:i/>
              </w:rPr>
              <w:t>2. Based on the report defining the types of crisis referred to in Article 225(c), and the evaluation work conducted in the first pillar of the CAP in particular, the Commission shall define an intervention strategy for each type of crisis. A SWOT analysis of each of the market management tools defined in this Regulation shall be made to identify possible synergies between the tools.</w:t>
            </w:r>
          </w:p>
        </w:tc>
      </w:tr>
      <w:tr w:rsidR="003B40DD" w:rsidRPr="005B3ABD" w14:paraId="25C1EE5A" w14:textId="77777777" w:rsidTr="00882D36">
        <w:trPr>
          <w:jc w:val="center"/>
        </w:trPr>
        <w:tc>
          <w:tcPr>
            <w:tcW w:w="4876" w:type="dxa"/>
          </w:tcPr>
          <w:p w14:paraId="2F0FE1D4" w14:textId="77777777" w:rsidR="003B40DD" w:rsidRPr="005B3ABD" w:rsidRDefault="003B40DD" w:rsidP="00882D36">
            <w:pPr>
              <w:pStyle w:val="Normal6"/>
              <w:rPr>
                <w:color w:val="0000FA"/>
              </w:rPr>
            </w:pPr>
          </w:p>
        </w:tc>
        <w:tc>
          <w:tcPr>
            <w:tcW w:w="4876" w:type="dxa"/>
          </w:tcPr>
          <w:p w14:paraId="0F575E1B" w14:textId="77777777" w:rsidR="003B40DD" w:rsidRPr="005B3ABD" w:rsidRDefault="003B40DD" w:rsidP="00882D36">
            <w:pPr>
              <w:pStyle w:val="Normal6"/>
              <w:rPr>
                <w:color w:val="000005"/>
                <w:szCs w:val="24"/>
              </w:rPr>
            </w:pPr>
            <w:r w:rsidRPr="005B3ABD">
              <w:rPr>
                <w:b/>
                <w:i/>
              </w:rPr>
              <w:t>3. The Commission is empowered to adopt delegated acts in accordance with Article 227 to set quantitative targets and milestones so that the tools in this Regulation may contribute to the attainment of the objectives stated in Article 39 of the TFEU. The Commission shall submit a draft crisis management plan by 1 January 2020 to the European Parliament and the Council. Based on this, the Member States shall submit their CAP Strategic Plans to the Commission.</w:t>
            </w:r>
          </w:p>
        </w:tc>
      </w:tr>
      <w:tr w:rsidR="003B40DD" w:rsidRPr="005B3ABD" w14:paraId="0454A691" w14:textId="77777777" w:rsidTr="00882D36">
        <w:trPr>
          <w:jc w:val="center"/>
        </w:trPr>
        <w:tc>
          <w:tcPr>
            <w:tcW w:w="4876" w:type="dxa"/>
          </w:tcPr>
          <w:p w14:paraId="1BE1C38C" w14:textId="77777777" w:rsidR="003B40DD" w:rsidRPr="005B3ABD" w:rsidRDefault="003B40DD" w:rsidP="00882D36">
            <w:pPr>
              <w:pStyle w:val="Normal6"/>
              <w:rPr>
                <w:color w:val="0000FA"/>
              </w:rPr>
            </w:pPr>
          </w:p>
        </w:tc>
        <w:tc>
          <w:tcPr>
            <w:tcW w:w="4876" w:type="dxa"/>
          </w:tcPr>
          <w:p w14:paraId="3F1784F6" w14:textId="77777777" w:rsidR="003B40DD" w:rsidRPr="005B3ABD" w:rsidRDefault="003B40DD" w:rsidP="00882D36">
            <w:pPr>
              <w:pStyle w:val="Normal6"/>
              <w:rPr>
                <w:szCs w:val="24"/>
              </w:rPr>
            </w:pPr>
            <w:r w:rsidRPr="005B3ABD">
              <w:rPr>
                <w:b/>
                <w:i/>
              </w:rPr>
              <w:t>4. The crisis management plan shall cover the period from 1 January 2021 to 31 December 2027, with a mid-term review clause for 30 June 2024 when its overall consistency with Member States’ strategic plans shall be optimised for a more efficient use of public funds and to add more value to the Union.</w:t>
            </w:r>
          </w:p>
        </w:tc>
      </w:tr>
    </w:tbl>
    <w:p w14:paraId="3E86A9F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F327544"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DC98F10" w14:textId="549F7987" w:rsidR="003B40DD" w:rsidRPr="005B3ABD" w:rsidRDefault="003B40DD" w:rsidP="003B40DD">
      <w:pPr>
        <w:pStyle w:val="Normal12Italic"/>
      </w:pPr>
      <w:r w:rsidRPr="005B3ABD">
        <w:t>This summarises Articles 91 and 113 of the draft Strategic Plans Regulation where Member States mus</w:t>
      </w:r>
      <w:r w:rsidR="009D2C84" w:rsidRPr="005B3ABD">
        <w:t>t</w:t>
      </w:r>
      <w:r w:rsidRPr="005B3ABD">
        <w:t xml:space="preserve"> submit and justify their choice to the Commission. The Commission should define </w:t>
      </w:r>
      <w:r w:rsidRPr="005B3ABD">
        <w:lastRenderedPageBreak/>
        <w:t>its strategy in the event of crises so that it can be held accountable to the Parliament and the Council. The clarification of its strategy is an essential prerequisite for Member States to be able in turn to establish their priorities.</w:t>
      </w:r>
    </w:p>
    <w:p w14:paraId="18823F18" w14:textId="77777777" w:rsidR="003B40DD" w:rsidRPr="005B3ABD" w:rsidRDefault="003B40DD" w:rsidP="003B40DD">
      <w:r w:rsidRPr="005B3ABD">
        <w:rPr>
          <w:rStyle w:val="HideTWBExt"/>
          <w:noProof w:val="0"/>
          <w:color w:val="auto"/>
        </w:rPr>
        <w:t>&lt;/Amend&gt;</w:t>
      </w:r>
    </w:p>
    <w:p w14:paraId="31996614"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76</w:t>
      </w:r>
      <w:r w:rsidRPr="005B3ABD">
        <w:rPr>
          <w:rStyle w:val="HideTWBExt"/>
          <w:b w:val="0"/>
          <w:noProof w:val="0"/>
          <w:color w:val="auto"/>
        </w:rPr>
        <w:t>&lt;/NumAm&gt;</w:t>
      </w:r>
    </w:p>
    <w:p w14:paraId="64EDCEFA"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22A322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28 b (new)</w:t>
      </w:r>
      <w:r w:rsidRPr="005B3ABD">
        <w:rPr>
          <w:rStyle w:val="HideTWBExt"/>
          <w:b w:val="0"/>
          <w:noProof w:val="0"/>
          <w:color w:val="auto"/>
        </w:rPr>
        <w:t>&lt;/Article&gt;</w:t>
      </w:r>
    </w:p>
    <w:p w14:paraId="77D1BF47"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4A3F5D6" w14:textId="77777777" w:rsidR="003B40DD" w:rsidRPr="005B3ABD" w:rsidRDefault="003B40DD" w:rsidP="003B40DD">
      <w:r w:rsidRPr="005B3ABD">
        <w:rPr>
          <w:rStyle w:val="HideTWBExt"/>
          <w:noProof w:val="0"/>
          <w:color w:val="auto"/>
        </w:rPr>
        <w:t>&lt;Article2&gt;</w:t>
      </w:r>
      <w:r w:rsidRPr="005B3ABD">
        <w:t>Article 226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21254DE" w14:textId="77777777" w:rsidTr="00882D36">
        <w:trPr>
          <w:jc w:val="center"/>
        </w:trPr>
        <w:tc>
          <w:tcPr>
            <w:tcW w:w="9752" w:type="dxa"/>
            <w:gridSpan w:val="2"/>
          </w:tcPr>
          <w:p w14:paraId="611AF413" w14:textId="77777777" w:rsidR="003B40DD" w:rsidRPr="005B3ABD" w:rsidRDefault="003B40DD" w:rsidP="00882D36">
            <w:pPr>
              <w:keepNext/>
            </w:pPr>
          </w:p>
        </w:tc>
      </w:tr>
      <w:tr w:rsidR="003B40DD" w:rsidRPr="005B3ABD" w14:paraId="2873883E" w14:textId="77777777" w:rsidTr="00882D36">
        <w:trPr>
          <w:jc w:val="center"/>
        </w:trPr>
        <w:tc>
          <w:tcPr>
            <w:tcW w:w="4876" w:type="dxa"/>
          </w:tcPr>
          <w:p w14:paraId="744EABED" w14:textId="77777777" w:rsidR="003B40DD" w:rsidRPr="005B3ABD" w:rsidRDefault="003B40DD" w:rsidP="00882D36">
            <w:pPr>
              <w:pStyle w:val="ColumnHeading"/>
              <w:keepNext/>
              <w:rPr>
                <w:color w:val="0000FA"/>
              </w:rPr>
            </w:pPr>
            <w:r w:rsidRPr="005B3ABD">
              <w:t>Text proposed by the Commission</w:t>
            </w:r>
          </w:p>
        </w:tc>
        <w:tc>
          <w:tcPr>
            <w:tcW w:w="4876" w:type="dxa"/>
          </w:tcPr>
          <w:p w14:paraId="092696CA" w14:textId="77777777" w:rsidR="003B40DD" w:rsidRPr="005B3ABD" w:rsidRDefault="003B40DD" w:rsidP="00882D36">
            <w:pPr>
              <w:pStyle w:val="ColumnHeading"/>
              <w:keepNext/>
              <w:rPr>
                <w:color w:val="0000F5"/>
              </w:rPr>
            </w:pPr>
            <w:r w:rsidRPr="005B3ABD">
              <w:t>Amendment</w:t>
            </w:r>
          </w:p>
        </w:tc>
      </w:tr>
      <w:tr w:rsidR="003B40DD" w:rsidRPr="005B3ABD" w14:paraId="19C71D04" w14:textId="77777777" w:rsidTr="00882D36">
        <w:trPr>
          <w:jc w:val="center"/>
        </w:trPr>
        <w:tc>
          <w:tcPr>
            <w:tcW w:w="4876" w:type="dxa"/>
          </w:tcPr>
          <w:p w14:paraId="733E8996" w14:textId="77777777" w:rsidR="003B40DD" w:rsidRPr="005B3ABD" w:rsidRDefault="003B40DD" w:rsidP="00882D36">
            <w:pPr>
              <w:pStyle w:val="Normal6"/>
              <w:rPr>
                <w:color w:val="0000FA"/>
              </w:rPr>
            </w:pPr>
          </w:p>
        </w:tc>
        <w:tc>
          <w:tcPr>
            <w:tcW w:w="4876" w:type="dxa"/>
          </w:tcPr>
          <w:p w14:paraId="4131423E" w14:textId="77777777" w:rsidR="003B40DD" w:rsidRPr="005B3ABD" w:rsidRDefault="003B40DD" w:rsidP="00882D36">
            <w:pPr>
              <w:pStyle w:val="Normal6"/>
              <w:rPr>
                <w:color w:val="000005"/>
                <w:szCs w:val="24"/>
              </w:rPr>
            </w:pPr>
            <w:r w:rsidRPr="005B3ABD">
              <w:rPr>
                <w:b/>
                <w:i/>
              </w:rPr>
              <w:t>(28 b)</w:t>
            </w:r>
            <w:r w:rsidRPr="005B3ABD">
              <w:rPr>
                <w:b/>
                <w:i/>
              </w:rPr>
              <w:tab/>
              <w:t>The following Article is inserted:</w:t>
            </w:r>
          </w:p>
        </w:tc>
      </w:tr>
      <w:tr w:rsidR="003B40DD" w:rsidRPr="005B3ABD" w14:paraId="0E12D7C5" w14:textId="77777777" w:rsidTr="00882D36">
        <w:trPr>
          <w:jc w:val="center"/>
        </w:trPr>
        <w:tc>
          <w:tcPr>
            <w:tcW w:w="4876" w:type="dxa"/>
          </w:tcPr>
          <w:p w14:paraId="06B0E9CA" w14:textId="77777777" w:rsidR="003B40DD" w:rsidRPr="005B3ABD" w:rsidRDefault="003B40DD" w:rsidP="00882D36">
            <w:pPr>
              <w:pStyle w:val="Normal6"/>
              <w:rPr>
                <w:color w:val="0000FA"/>
              </w:rPr>
            </w:pPr>
          </w:p>
        </w:tc>
        <w:tc>
          <w:tcPr>
            <w:tcW w:w="4876" w:type="dxa"/>
          </w:tcPr>
          <w:p w14:paraId="4C059ADC" w14:textId="77777777" w:rsidR="003B40DD" w:rsidRPr="005B3ABD" w:rsidRDefault="003B40DD" w:rsidP="00882D36">
            <w:pPr>
              <w:pStyle w:val="Normal6"/>
              <w:rPr>
                <w:color w:val="000005"/>
                <w:szCs w:val="24"/>
              </w:rPr>
            </w:pPr>
            <w:r w:rsidRPr="005B3ABD">
              <w:rPr>
                <w:b/>
                <w:i/>
              </w:rPr>
              <w:t>Article 226 b</w:t>
            </w:r>
          </w:p>
        </w:tc>
      </w:tr>
      <w:tr w:rsidR="003B40DD" w:rsidRPr="005B3ABD" w14:paraId="33CC0C8C" w14:textId="77777777" w:rsidTr="00882D36">
        <w:trPr>
          <w:jc w:val="center"/>
        </w:trPr>
        <w:tc>
          <w:tcPr>
            <w:tcW w:w="4876" w:type="dxa"/>
          </w:tcPr>
          <w:p w14:paraId="03EC5EFC" w14:textId="77777777" w:rsidR="003B40DD" w:rsidRPr="005B3ABD" w:rsidRDefault="003B40DD" w:rsidP="00882D36">
            <w:pPr>
              <w:pStyle w:val="Normal6"/>
              <w:rPr>
                <w:color w:val="0000FA"/>
              </w:rPr>
            </w:pPr>
          </w:p>
        </w:tc>
        <w:tc>
          <w:tcPr>
            <w:tcW w:w="4876" w:type="dxa"/>
          </w:tcPr>
          <w:p w14:paraId="1E04A8CA" w14:textId="77777777" w:rsidR="003B40DD" w:rsidRPr="005B3ABD" w:rsidRDefault="003B40DD" w:rsidP="00882D36">
            <w:pPr>
              <w:pStyle w:val="Normal6"/>
              <w:rPr>
                <w:color w:val="000005"/>
                <w:szCs w:val="24"/>
              </w:rPr>
            </w:pPr>
            <w:r w:rsidRPr="005B3ABD">
              <w:rPr>
                <w:b/>
                <w:i/>
              </w:rPr>
              <w:t>Performance framework</w:t>
            </w:r>
          </w:p>
        </w:tc>
      </w:tr>
      <w:tr w:rsidR="003B40DD" w:rsidRPr="005B3ABD" w14:paraId="41A9FF87" w14:textId="77777777" w:rsidTr="00882D36">
        <w:trPr>
          <w:jc w:val="center"/>
        </w:trPr>
        <w:tc>
          <w:tcPr>
            <w:tcW w:w="4876" w:type="dxa"/>
          </w:tcPr>
          <w:p w14:paraId="360A356B" w14:textId="77777777" w:rsidR="003B40DD" w:rsidRPr="005B3ABD" w:rsidRDefault="003B40DD" w:rsidP="00882D36">
            <w:pPr>
              <w:pStyle w:val="Normal6"/>
              <w:rPr>
                <w:color w:val="0000FA"/>
              </w:rPr>
            </w:pPr>
          </w:p>
        </w:tc>
        <w:tc>
          <w:tcPr>
            <w:tcW w:w="4876" w:type="dxa"/>
          </w:tcPr>
          <w:p w14:paraId="40B02C8D" w14:textId="77777777" w:rsidR="003B40DD" w:rsidRPr="005B3ABD" w:rsidRDefault="003B40DD" w:rsidP="00882D36">
            <w:pPr>
              <w:pStyle w:val="Normal6"/>
              <w:rPr>
                <w:color w:val="000005"/>
                <w:szCs w:val="24"/>
              </w:rPr>
            </w:pPr>
            <w:r w:rsidRPr="005B3ABD">
              <w:rPr>
                <w:b/>
                <w:i/>
              </w:rPr>
              <w:t>1. The Commission shall lay down a performance framework for reporting, monitoring and evaluating the performance of the crisis management plan during its implementation.</w:t>
            </w:r>
          </w:p>
        </w:tc>
      </w:tr>
      <w:tr w:rsidR="003B40DD" w:rsidRPr="005B3ABD" w14:paraId="3E62F5D3" w14:textId="77777777" w:rsidTr="00882D36">
        <w:trPr>
          <w:jc w:val="center"/>
        </w:trPr>
        <w:tc>
          <w:tcPr>
            <w:tcW w:w="4876" w:type="dxa"/>
          </w:tcPr>
          <w:p w14:paraId="31BCC3DF" w14:textId="77777777" w:rsidR="003B40DD" w:rsidRPr="005B3ABD" w:rsidRDefault="003B40DD" w:rsidP="00882D36">
            <w:pPr>
              <w:pStyle w:val="Normal6"/>
              <w:rPr>
                <w:color w:val="0000FA"/>
              </w:rPr>
            </w:pPr>
          </w:p>
        </w:tc>
        <w:tc>
          <w:tcPr>
            <w:tcW w:w="4876" w:type="dxa"/>
          </w:tcPr>
          <w:p w14:paraId="31B31615" w14:textId="77777777" w:rsidR="003B40DD" w:rsidRPr="005B3ABD" w:rsidRDefault="003B40DD" w:rsidP="00882D36">
            <w:pPr>
              <w:pStyle w:val="Normal6"/>
              <w:rPr>
                <w:color w:val="000005"/>
                <w:szCs w:val="24"/>
              </w:rPr>
            </w:pPr>
            <w:r w:rsidRPr="005B3ABD">
              <w:rPr>
                <w:b/>
                <w:i/>
              </w:rPr>
              <w:t>2. The performance framework shall include the following elements:</w:t>
            </w:r>
          </w:p>
        </w:tc>
      </w:tr>
      <w:tr w:rsidR="003B40DD" w:rsidRPr="005B3ABD" w14:paraId="1DA1FA57" w14:textId="77777777" w:rsidTr="00882D36">
        <w:trPr>
          <w:jc w:val="center"/>
        </w:trPr>
        <w:tc>
          <w:tcPr>
            <w:tcW w:w="4876" w:type="dxa"/>
          </w:tcPr>
          <w:p w14:paraId="757D8374" w14:textId="77777777" w:rsidR="003B40DD" w:rsidRPr="005B3ABD" w:rsidRDefault="003B40DD" w:rsidP="00882D36">
            <w:pPr>
              <w:pStyle w:val="Normal6"/>
              <w:rPr>
                <w:color w:val="0000FA"/>
              </w:rPr>
            </w:pPr>
          </w:p>
        </w:tc>
        <w:tc>
          <w:tcPr>
            <w:tcW w:w="4876" w:type="dxa"/>
          </w:tcPr>
          <w:p w14:paraId="6B28F73E" w14:textId="77777777" w:rsidR="003B40DD" w:rsidRPr="005B3ABD" w:rsidRDefault="003B40DD" w:rsidP="00882D36">
            <w:pPr>
              <w:pStyle w:val="Normal6"/>
              <w:rPr>
                <w:color w:val="000005"/>
                <w:szCs w:val="24"/>
              </w:rPr>
            </w:pPr>
            <w:r w:rsidRPr="005B3ABD">
              <w:rPr>
                <w:b/>
                <w:i/>
              </w:rPr>
              <w:t>(a) all common indicators of context, attainment, results and impact that shall serve as basis for the monitoring, evaluation and annual performance report;</w:t>
            </w:r>
          </w:p>
        </w:tc>
      </w:tr>
      <w:tr w:rsidR="003B40DD" w:rsidRPr="005B3ABD" w14:paraId="6815734D" w14:textId="77777777" w:rsidTr="00882D36">
        <w:trPr>
          <w:jc w:val="center"/>
        </w:trPr>
        <w:tc>
          <w:tcPr>
            <w:tcW w:w="4876" w:type="dxa"/>
          </w:tcPr>
          <w:p w14:paraId="6A0D95F9" w14:textId="77777777" w:rsidR="003B40DD" w:rsidRPr="005B3ABD" w:rsidRDefault="003B40DD" w:rsidP="00882D36">
            <w:pPr>
              <w:pStyle w:val="Normal6"/>
              <w:rPr>
                <w:color w:val="0000FA"/>
              </w:rPr>
            </w:pPr>
          </w:p>
        </w:tc>
        <w:tc>
          <w:tcPr>
            <w:tcW w:w="4876" w:type="dxa"/>
          </w:tcPr>
          <w:p w14:paraId="263F5E68" w14:textId="77777777" w:rsidR="003B40DD" w:rsidRPr="005B3ABD" w:rsidRDefault="003B40DD" w:rsidP="00882D36">
            <w:pPr>
              <w:pStyle w:val="Normal6"/>
              <w:rPr>
                <w:color w:val="000005"/>
                <w:szCs w:val="24"/>
              </w:rPr>
            </w:pPr>
            <w:r w:rsidRPr="005B3ABD">
              <w:rPr>
                <w:b/>
                <w:i/>
              </w:rPr>
              <w:t>(b) annual targets and milestones established with regard to the corresponding specific objective using result indicators;</w:t>
            </w:r>
          </w:p>
        </w:tc>
      </w:tr>
      <w:tr w:rsidR="003B40DD" w:rsidRPr="005B3ABD" w14:paraId="1B02E2D7" w14:textId="77777777" w:rsidTr="00882D36">
        <w:trPr>
          <w:jc w:val="center"/>
        </w:trPr>
        <w:tc>
          <w:tcPr>
            <w:tcW w:w="4876" w:type="dxa"/>
          </w:tcPr>
          <w:p w14:paraId="19F541AB" w14:textId="77777777" w:rsidR="003B40DD" w:rsidRPr="005B3ABD" w:rsidRDefault="003B40DD" w:rsidP="00882D36">
            <w:pPr>
              <w:pStyle w:val="Normal6"/>
              <w:rPr>
                <w:color w:val="0000FA"/>
              </w:rPr>
            </w:pPr>
          </w:p>
        </w:tc>
        <w:tc>
          <w:tcPr>
            <w:tcW w:w="4876" w:type="dxa"/>
          </w:tcPr>
          <w:p w14:paraId="70E4F7CA" w14:textId="77777777" w:rsidR="003B40DD" w:rsidRPr="005B3ABD" w:rsidRDefault="003B40DD" w:rsidP="00882D36">
            <w:pPr>
              <w:pStyle w:val="Normal6"/>
              <w:rPr>
                <w:color w:val="000005"/>
                <w:szCs w:val="24"/>
              </w:rPr>
            </w:pPr>
            <w:r w:rsidRPr="005B3ABD">
              <w:rPr>
                <w:b/>
                <w:i/>
              </w:rPr>
              <w:t>(c) data collection, storage and transmission;</w:t>
            </w:r>
          </w:p>
        </w:tc>
      </w:tr>
      <w:tr w:rsidR="003B40DD" w:rsidRPr="005B3ABD" w14:paraId="7887E1CF" w14:textId="77777777" w:rsidTr="00882D36">
        <w:trPr>
          <w:jc w:val="center"/>
        </w:trPr>
        <w:tc>
          <w:tcPr>
            <w:tcW w:w="4876" w:type="dxa"/>
          </w:tcPr>
          <w:p w14:paraId="58C51FA8" w14:textId="77777777" w:rsidR="003B40DD" w:rsidRPr="005B3ABD" w:rsidRDefault="003B40DD" w:rsidP="00882D36">
            <w:pPr>
              <w:pStyle w:val="Normal6"/>
              <w:rPr>
                <w:color w:val="0000FA"/>
              </w:rPr>
            </w:pPr>
          </w:p>
        </w:tc>
        <w:tc>
          <w:tcPr>
            <w:tcW w:w="4876" w:type="dxa"/>
          </w:tcPr>
          <w:p w14:paraId="1D5C49CC" w14:textId="77777777" w:rsidR="003B40DD" w:rsidRPr="005B3ABD" w:rsidRDefault="003B40DD" w:rsidP="00882D36">
            <w:pPr>
              <w:pStyle w:val="Normal6"/>
              <w:rPr>
                <w:color w:val="000005"/>
                <w:szCs w:val="24"/>
              </w:rPr>
            </w:pPr>
            <w:r w:rsidRPr="005B3ABD">
              <w:rPr>
                <w:b/>
                <w:i/>
              </w:rPr>
              <w:t>(d) annual reports on the performance of the crisis management plan for each of the sectors that were affected during the year;</w:t>
            </w:r>
          </w:p>
        </w:tc>
      </w:tr>
      <w:tr w:rsidR="003B40DD" w:rsidRPr="005B3ABD" w14:paraId="47247F63" w14:textId="77777777" w:rsidTr="00882D36">
        <w:trPr>
          <w:jc w:val="center"/>
        </w:trPr>
        <w:tc>
          <w:tcPr>
            <w:tcW w:w="4876" w:type="dxa"/>
          </w:tcPr>
          <w:p w14:paraId="0FEEC614" w14:textId="77777777" w:rsidR="003B40DD" w:rsidRPr="005B3ABD" w:rsidRDefault="003B40DD" w:rsidP="00882D36">
            <w:pPr>
              <w:pStyle w:val="Normal6"/>
              <w:rPr>
                <w:color w:val="0000FA"/>
              </w:rPr>
            </w:pPr>
          </w:p>
        </w:tc>
        <w:tc>
          <w:tcPr>
            <w:tcW w:w="4876" w:type="dxa"/>
          </w:tcPr>
          <w:p w14:paraId="563194C0" w14:textId="77777777" w:rsidR="003B40DD" w:rsidRPr="005B3ABD" w:rsidRDefault="003B40DD" w:rsidP="00882D36">
            <w:pPr>
              <w:pStyle w:val="Normal6"/>
              <w:rPr>
                <w:color w:val="000005"/>
                <w:szCs w:val="24"/>
              </w:rPr>
            </w:pPr>
            <w:r w:rsidRPr="005B3ABD">
              <w:rPr>
                <w:b/>
                <w:i/>
              </w:rPr>
              <w:t>(e) efficiency reserve measures in the use of EAFG as a whole.</w:t>
            </w:r>
          </w:p>
        </w:tc>
      </w:tr>
      <w:tr w:rsidR="003B40DD" w:rsidRPr="005B3ABD" w14:paraId="18BE60C7" w14:textId="77777777" w:rsidTr="00882D36">
        <w:trPr>
          <w:jc w:val="center"/>
        </w:trPr>
        <w:tc>
          <w:tcPr>
            <w:tcW w:w="4876" w:type="dxa"/>
          </w:tcPr>
          <w:p w14:paraId="5E37D98C" w14:textId="77777777" w:rsidR="003B40DD" w:rsidRPr="005B3ABD" w:rsidRDefault="003B40DD" w:rsidP="00882D36">
            <w:pPr>
              <w:pStyle w:val="Normal6"/>
              <w:rPr>
                <w:color w:val="0000FA"/>
              </w:rPr>
            </w:pPr>
          </w:p>
        </w:tc>
        <w:tc>
          <w:tcPr>
            <w:tcW w:w="4876" w:type="dxa"/>
          </w:tcPr>
          <w:p w14:paraId="1FA1AEDF" w14:textId="77777777" w:rsidR="003B40DD" w:rsidRPr="005B3ABD" w:rsidRDefault="003B40DD" w:rsidP="00882D36">
            <w:pPr>
              <w:pStyle w:val="Normal6"/>
              <w:rPr>
                <w:color w:val="000005"/>
                <w:szCs w:val="24"/>
              </w:rPr>
            </w:pPr>
            <w:r w:rsidRPr="005B3ABD">
              <w:rPr>
                <w:b/>
                <w:i/>
              </w:rPr>
              <w:t>3. The performance framework shall aim to:</w:t>
            </w:r>
          </w:p>
        </w:tc>
      </w:tr>
      <w:tr w:rsidR="003B40DD" w:rsidRPr="005B3ABD" w14:paraId="1FD0EB4C" w14:textId="77777777" w:rsidTr="00882D36">
        <w:trPr>
          <w:jc w:val="center"/>
        </w:trPr>
        <w:tc>
          <w:tcPr>
            <w:tcW w:w="4876" w:type="dxa"/>
          </w:tcPr>
          <w:p w14:paraId="5A937BDF" w14:textId="77777777" w:rsidR="003B40DD" w:rsidRPr="005B3ABD" w:rsidRDefault="003B40DD" w:rsidP="00882D36">
            <w:pPr>
              <w:pStyle w:val="Normal6"/>
              <w:rPr>
                <w:color w:val="0000FA"/>
              </w:rPr>
            </w:pPr>
          </w:p>
        </w:tc>
        <w:tc>
          <w:tcPr>
            <w:tcW w:w="4876" w:type="dxa"/>
          </w:tcPr>
          <w:p w14:paraId="67040216" w14:textId="77777777" w:rsidR="003B40DD" w:rsidRPr="005B3ABD" w:rsidRDefault="003B40DD" w:rsidP="00882D36">
            <w:pPr>
              <w:pStyle w:val="Normal6"/>
              <w:rPr>
                <w:color w:val="000005"/>
                <w:szCs w:val="24"/>
              </w:rPr>
            </w:pPr>
            <w:r w:rsidRPr="005B3ABD">
              <w:rPr>
                <w:b/>
                <w:i/>
              </w:rPr>
              <w:t xml:space="preserve">(a) assess the impact, effectiveness, </w:t>
            </w:r>
            <w:r w:rsidRPr="005B3ABD">
              <w:rPr>
                <w:b/>
                <w:i/>
              </w:rPr>
              <w:lastRenderedPageBreak/>
              <w:t>efficiency, relevance, coherence and Union added value of the CAP;</w:t>
            </w:r>
          </w:p>
        </w:tc>
      </w:tr>
      <w:tr w:rsidR="003B40DD" w:rsidRPr="005B3ABD" w14:paraId="154AF1C9" w14:textId="77777777" w:rsidTr="00882D36">
        <w:trPr>
          <w:jc w:val="center"/>
        </w:trPr>
        <w:tc>
          <w:tcPr>
            <w:tcW w:w="4876" w:type="dxa"/>
          </w:tcPr>
          <w:p w14:paraId="2CDF8C44" w14:textId="77777777" w:rsidR="003B40DD" w:rsidRPr="005B3ABD" w:rsidRDefault="003B40DD" w:rsidP="00882D36">
            <w:pPr>
              <w:pStyle w:val="Normal6"/>
              <w:rPr>
                <w:color w:val="0000FA"/>
              </w:rPr>
            </w:pPr>
          </w:p>
        </w:tc>
        <w:tc>
          <w:tcPr>
            <w:tcW w:w="4876" w:type="dxa"/>
          </w:tcPr>
          <w:p w14:paraId="1714D563" w14:textId="77777777" w:rsidR="003B40DD" w:rsidRPr="005B3ABD" w:rsidRDefault="003B40DD" w:rsidP="00882D36">
            <w:pPr>
              <w:pStyle w:val="Normal6"/>
              <w:rPr>
                <w:color w:val="000005"/>
                <w:szCs w:val="24"/>
              </w:rPr>
            </w:pPr>
            <w:r w:rsidRPr="005B3ABD">
              <w:rPr>
                <w:b/>
                <w:i/>
              </w:rPr>
              <w:t>(b) report to the European Parliament and the Council on the use of powers given to the Commission in terms of crisis prevention and management;</w:t>
            </w:r>
          </w:p>
        </w:tc>
      </w:tr>
      <w:tr w:rsidR="003B40DD" w:rsidRPr="005B3ABD" w14:paraId="1225CBC2" w14:textId="77777777" w:rsidTr="00882D36">
        <w:trPr>
          <w:jc w:val="center"/>
        </w:trPr>
        <w:tc>
          <w:tcPr>
            <w:tcW w:w="4876" w:type="dxa"/>
          </w:tcPr>
          <w:p w14:paraId="772A760C" w14:textId="77777777" w:rsidR="003B40DD" w:rsidRPr="005B3ABD" w:rsidRDefault="003B40DD" w:rsidP="00882D36">
            <w:pPr>
              <w:pStyle w:val="Normal6"/>
              <w:rPr>
                <w:color w:val="0000FA"/>
              </w:rPr>
            </w:pPr>
          </w:p>
        </w:tc>
        <w:tc>
          <w:tcPr>
            <w:tcW w:w="4876" w:type="dxa"/>
          </w:tcPr>
          <w:p w14:paraId="32FF95E2" w14:textId="77777777" w:rsidR="003B40DD" w:rsidRPr="005B3ABD" w:rsidRDefault="003B40DD" w:rsidP="00882D36">
            <w:pPr>
              <w:pStyle w:val="Normal6"/>
              <w:rPr>
                <w:color w:val="000005"/>
                <w:szCs w:val="24"/>
              </w:rPr>
            </w:pPr>
            <w:r w:rsidRPr="005B3ABD">
              <w:rPr>
                <w:b/>
                <w:i/>
              </w:rPr>
              <w:t>(c) move away from the current budget consumption logic of EAGF;</w:t>
            </w:r>
          </w:p>
        </w:tc>
      </w:tr>
      <w:tr w:rsidR="003B40DD" w:rsidRPr="005B3ABD" w14:paraId="18929C9F" w14:textId="77777777" w:rsidTr="00882D36">
        <w:trPr>
          <w:jc w:val="center"/>
        </w:trPr>
        <w:tc>
          <w:tcPr>
            <w:tcW w:w="4876" w:type="dxa"/>
          </w:tcPr>
          <w:p w14:paraId="4F067DFC" w14:textId="77777777" w:rsidR="003B40DD" w:rsidRPr="005B3ABD" w:rsidRDefault="003B40DD" w:rsidP="00882D36">
            <w:pPr>
              <w:pStyle w:val="Normal6"/>
              <w:rPr>
                <w:color w:val="0000FA"/>
              </w:rPr>
            </w:pPr>
          </w:p>
        </w:tc>
        <w:tc>
          <w:tcPr>
            <w:tcW w:w="4876" w:type="dxa"/>
          </w:tcPr>
          <w:p w14:paraId="471C0257" w14:textId="77777777" w:rsidR="003B40DD" w:rsidRPr="005B3ABD" w:rsidRDefault="003B40DD" w:rsidP="00882D36">
            <w:pPr>
              <w:pStyle w:val="Normal6"/>
              <w:rPr>
                <w:szCs w:val="24"/>
              </w:rPr>
            </w:pPr>
            <w:r w:rsidRPr="005B3ABD">
              <w:rPr>
                <w:b/>
                <w:i/>
              </w:rPr>
              <w:t>(d) move towards a logic of countercyclical steering of agricultural markets and revenues where the Commission optimises the use of public funds according to economic cycles, climatic incidents and geopolitical tension.</w:t>
            </w:r>
          </w:p>
        </w:tc>
      </w:tr>
    </w:tbl>
    <w:p w14:paraId="4B8F518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436C895"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4B9EC98" w14:textId="05062143" w:rsidR="003B40DD" w:rsidRPr="005B3ABD" w:rsidRDefault="003B40DD" w:rsidP="003B40DD">
      <w:pPr>
        <w:pStyle w:val="Normal12Italic"/>
      </w:pPr>
      <w:r w:rsidRPr="005B3ABD">
        <w:t>This summarises Articles 91 and 113 of the draft Strategic Plans Regulation where Member States mus</w:t>
      </w:r>
      <w:r w:rsidR="009D2C84" w:rsidRPr="005B3ABD">
        <w:t>t</w:t>
      </w:r>
      <w:r w:rsidRPr="005B3ABD">
        <w:t xml:space="preserve"> submit and justify their choice to the Commission. The Commission should define its strategy in the event of crises so that it can be held accountable to the Parliament and the Council. A clarification of its strategy is an essential prerequisite for Member States to be able in turn to establish their priorities.</w:t>
      </w:r>
    </w:p>
    <w:p w14:paraId="7BB675B5" w14:textId="77777777" w:rsidR="003B40DD" w:rsidRPr="005B3ABD" w:rsidRDefault="003B40DD" w:rsidP="003B40DD">
      <w:r w:rsidRPr="005B3ABD">
        <w:rPr>
          <w:rStyle w:val="HideTWBExt"/>
          <w:noProof w:val="0"/>
          <w:color w:val="auto"/>
        </w:rPr>
        <w:t>&lt;/Amend&gt;</w:t>
      </w:r>
    </w:p>
    <w:p w14:paraId="1D5A3E8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77</w:t>
      </w:r>
      <w:r w:rsidRPr="005B3ABD">
        <w:rPr>
          <w:rStyle w:val="HideTWBExt"/>
          <w:b w:val="0"/>
          <w:noProof w:val="0"/>
          <w:color w:val="auto"/>
        </w:rPr>
        <w:t>&lt;/NumAm&gt;</w:t>
      </w:r>
    </w:p>
    <w:p w14:paraId="2A1CBE3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BBA3EA4"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28 c (new)</w:t>
      </w:r>
      <w:r w:rsidRPr="005B3ABD">
        <w:rPr>
          <w:rStyle w:val="HideTWBExt"/>
          <w:b w:val="0"/>
          <w:noProof w:val="0"/>
          <w:color w:val="auto"/>
        </w:rPr>
        <w:t>&lt;/Article&gt;</w:t>
      </w:r>
    </w:p>
    <w:p w14:paraId="2301DA51"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19212CDF" w14:textId="77777777" w:rsidR="003B40DD" w:rsidRPr="005B3ABD" w:rsidRDefault="003B40DD" w:rsidP="003B40DD">
      <w:r w:rsidRPr="005B3ABD">
        <w:rPr>
          <w:rStyle w:val="HideTWBExt"/>
          <w:noProof w:val="0"/>
          <w:color w:val="auto"/>
        </w:rPr>
        <w:t>&lt;Article2&gt;</w:t>
      </w:r>
      <w:r w:rsidRPr="005B3ABD">
        <w:t>Article 227 – paragraph 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FB6A0C3" w14:textId="77777777" w:rsidTr="00882D36">
        <w:trPr>
          <w:jc w:val="center"/>
        </w:trPr>
        <w:tc>
          <w:tcPr>
            <w:tcW w:w="9752" w:type="dxa"/>
            <w:gridSpan w:val="2"/>
          </w:tcPr>
          <w:p w14:paraId="28C31984" w14:textId="77777777" w:rsidR="003B40DD" w:rsidRPr="005B3ABD" w:rsidRDefault="003B40DD" w:rsidP="00882D36">
            <w:pPr>
              <w:keepNext/>
            </w:pPr>
          </w:p>
        </w:tc>
      </w:tr>
      <w:tr w:rsidR="003B40DD" w:rsidRPr="005B3ABD" w14:paraId="573A4A07" w14:textId="77777777" w:rsidTr="00882D36">
        <w:trPr>
          <w:jc w:val="center"/>
        </w:trPr>
        <w:tc>
          <w:tcPr>
            <w:tcW w:w="4876" w:type="dxa"/>
          </w:tcPr>
          <w:p w14:paraId="7C424170" w14:textId="77777777" w:rsidR="003B40DD" w:rsidRPr="005B3ABD" w:rsidRDefault="003B40DD" w:rsidP="00882D36">
            <w:pPr>
              <w:pStyle w:val="ColumnHeading"/>
              <w:keepNext/>
              <w:rPr>
                <w:color w:val="0000FA"/>
              </w:rPr>
            </w:pPr>
            <w:r w:rsidRPr="005B3ABD">
              <w:t>This text</w:t>
            </w:r>
          </w:p>
        </w:tc>
        <w:tc>
          <w:tcPr>
            <w:tcW w:w="4876" w:type="dxa"/>
          </w:tcPr>
          <w:p w14:paraId="14D55569" w14:textId="77777777" w:rsidR="003B40DD" w:rsidRPr="005B3ABD" w:rsidRDefault="003B40DD" w:rsidP="00882D36">
            <w:pPr>
              <w:pStyle w:val="ColumnHeading"/>
              <w:keepNext/>
              <w:rPr>
                <w:color w:val="0000F5"/>
              </w:rPr>
            </w:pPr>
            <w:r w:rsidRPr="005B3ABD">
              <w:t>Amendment</w:t>
            </w:r>
          </w:p>
        </w:tc>
      </w:tr>
      <w:tr w:rsidR="003B40DD" w:rsidRPr="005B3ABD" w14:paraId="5E1E74F0" w14:textId="77777777" w:rsidTr="00882D36">
        <w:trPr>
          <w:jc w:val="center"/>
        </w:trPr>
        <w:tc>
          <w:tcPr>
            <w:tcW w:w="4876" w:type="dxa"/>
          </w:tcPr>
          <w:p w14:paraId="7236C0D0" w14:textId="77777777" w:rsidR="003B40DD" w:rsidRPr="005B3ABD" w:rsidRDefault="003B40DD" w:rsidP="00882D36">
            <w:pPr>
              <w:pStyle w:val="Normal6"/>
              <w:rPr>
                <w:color w:val="0000FA"/>
              </w:rPr>
            </w:pPr>
          </w:p>
        </w:tc>
        <w:tc>
          <w:tcPr>
            <w:tcW w:w="4876" w:type="dxa"/>
          </w:tcPr>
          <w:p w14:paraId="398FD656" w14:textId="77777777" w:rsidR="003B40DD" w:rsidRPr="005B3ABD" w:rsidRDefault="003B40DD" w:rsidP="00882D36">
            <w:pPr>
              <w:pStyle w:val="Normal6"/>
              <w:rPr>
                <w:color w:val="000005"/>
                <w:szCs w:val="24"/>
              </w:rPr>
            </w:pPr>
            <w:r w:rsidRPr="005B3ABD">
              <w:rPr>
                <w:b/>
                <w:i/>
              </w:rPr>
              <w:t>(28 c)</w:t>
            </w:r>
            <w:r w:rsidRPr="005B3ABD">
              <w:rPr>
                <w:b/>
                <w:i/>
              </w:rPr>
              <w:tab/>
              <w:t>Article 227(2) is replaced by:</w:t>
            </w:r>
          </w:p>
        </w:tc>
      </w:tr>
      <w:tr w:rsidR="003B40DD" w:rsidRPr="005B3ABD" w14:paraId="5CCB5A62" w14:textId="77777777" w:rsidTr="00882D36">
        <w:trPr>
          <w:jc w:val="center"/>
        </w:trPr>
        <w:tc>
          <w:tcPr>
            <w:tcW w:w="4876" w:type="dxa"/>
          </w:tcPr>
          <w:p w14:paraId="5178F0E8" w14:textId="77777777" w:rsidR="003B40DD" w:rsidRPr="005B3ABD" w:rsidRDefault="003B40DD" w:rsidP="00882D36">
            <w:pPr>
              <w:pStyle w:val="Normal6"/>
              <w:rPr>
                <w:color w:val="0000FA"/>
              </w:rPr>
            </w:pPr>
            <w:r w:rsidRPr="005B3ABD">
              <w:t xml:space="preserve">2. The power to adopt delegated acts referred to in this Regulation shall be conferred on the Commission for a period of seven years from 20 December </w:t>
            </w:r>
            <w:r w:rsidRPr="005B3ABD">
              <w:rPr>
                <w:b/>
                <w:bCs/>
                <w:i/>
                <w:iCs/>
              </w:rPr>
              <w:t>2013</w:t>
            </w:r>
            <w:r w:rsidRPr="005B3ABD">
              <w:t xml:space="preserve">. The Commission draw up a report in respect of the delegation of power not later than nine months before the end of the seven-year period. The delegation of power shall be tacitly extended for periods of an identical duration, unless the European </w:t>
            </w:r>
            <w:r w:rsidRPr="005B3ABD">
              <w:lastRenderedPageBreak/>
              <w:t>Parliament or the Council opposes such extension not later than three months before the end of each period.</w:t>
            </w:r>
          </w:p>
        </w:tc>
        <w:tc>
          <w:tcPr>
            <w:tcW w:w="4876" w:type="dxa"/>
          </w:tcPr>
          <w:p w14:paraId="27BEC654" w14:textId="77777777" w:rsidR="003B40DD" w:rsidRPr="005B3ABD" w:rsidRDefault="003B40DD" w:rsidP="00882D36">
            <w:pPr>
              <w:pStyle w:val="Normal6"/>
              <w:rPr>
                <w:szCs w:val="24"/>
              </w:rPr>
            </w:pPr>
            <w:r w:rsidRPr="005B3ABD">
              <w:lastRenderedPageBreak/>
              <w:t xml:space="preserve">“2. The power to adopt delegated acts referred to in this Regulation shall be conferred on the Commission for a period of seven years from 20 December </w:t>
            </w:r>
            <w:r w:rsidRPr="005B3ABD">
              <w:rPr>
                <w:b/>
                <w:bCs/>
                <w:i/>
                <w:iCs/>
              </w:rPr>
              <w:t>2020</w:t>
            </w:r>
            <w:r w:rsidRPr="005B3ABD">
              <w:t xml:space="preserve">. The Commission draw up a report in respect of the delegation of power not later than nine months before the end of the seven-year period. The delegation of power shall be tacitly extended for periods of an identical duration, unless the European </w:t>
            </w:r>
            <w:r w:rsidRPr="005B3ABD">
              <w:lastRenderedPageBreak/>
              <w:t xml:space="preserve">Parliament or the Council opposes such extension not later than three months before the end of each period.” </w:t>
            </w:r>
          </w:p>
        </w:tc>
      </w:tr>
    </w:tbl>
    <w:p w14:paraId="00574197"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E7BE51F" w14:textId="77777777" w:rsidR="003B40DD" w:rsidRPr="005B3ABD" w:rsidRDefault="003B40DD" w:rsidP="003B40DD">
      <w:pPr>
        <w:pStyle w:val="CrossRef"/>
      </w:pPr>
      <w:r w:rsidRPr="005B3ABD">
        <w:t>(https://eur-lex.europa.eu/legal-content/EN/TXT/?uri=CELEX:02013R1308-20180101)</w:t>
      </w:r>
    </w:p>
    <w:p w14:paraId="621190A1"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6E66BD2" w14:textId="77777777" w:rsidR="003B40DD" w:rsidRPr="005B3ABD" w:rsidRDefault="003B40DD" w:rsidP="003B40DD">
      <w:pPr>
        <w:pStyle w:val="Normal12Italic"/>
      </w:pPr>
      <w:r w:rsidRPr="005B3ABD">
        <w:t>This is an update for the next round of programming.</w:t>
      </w:r>
    </w:p>
    <w:p w14:paraId="60C33061" w14:textId="77777777" w:rsidR="003B40DD" w:rsidRPr="005B3ABD" w:rsidRDefault="003B40DD" w:rsidP="003B40DD">
      <w:r w:rsidRPr="005B3ABD">
        <w:rPr>
          <w:rStyle w:val="HideTWBExt"/>
          <w:noProof w:val="0"/>
          <w:color w:val="auto"/>
        </w:rPr>
        <w:t>&lt;/Amend&gt;</w:t>
      </w:r>
    </w:p>
    <w:p w14:paraId="60BF4FB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78</w:t>
      </w:r>
      <w:r w:rsidRPr="005B3ABD">
        <w:rPr>
          <w:rStyle w:val="HideTWBExt"/>
          <w:b w:val="0"/>
          <w:noProof w:val="0"/>
          <w:color w:val="auto"/>
        </w:rPr>
        <w:t>&lt;/NumAm&gt;</w:t>
      </w:r>
    </w:p>
    <w:p w14:paraId="26615E3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00685C2B"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29 a (new)</w:t>
      </w:r>
      <w:r w:rsidRPr="005B3ABD">
        <w:rPr>
          <w:rStyle w:val="HideTWBExt"/>
          <w:b w:val="0"/>
          <w:noProof w:val="0"/>
          <w:color w:val="auto"/>
        </w:rPr>
        <w:t>&lt;/Article&gt;</w:t>
      </w:r>
    </w:p>
    <w:p w14:paraId="3EA49E96"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C64A67A" w14:textId="77777777" w:rsidR="003B40DD" w:rsidRPr="005B3ABD" w:rsidRDefault="003B40DD" w:rsidP="003B40DD">
      <w:r w:rsidRPr="005B3ABD">
        <w:rPr>
          <w:rStyle w:val="HideTWBExt"/>
          <w:noProof w:val="0"/>
          <w:color w:val="auto"/>
        </w:rPr>
        <w:t>&lt;Article2&gt;</w:t>
      </w:r>
      <w:r w:rsidRPr="005B3ABD">
        <w:t>Annex II – part IX – paragraph 2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82AE4C2" w14:textId="77777777" w:rsidTr="00882D36">
        <w:trPr>
          <w:jc w:val="center"/>
        </w:trPr>
        <w:tc>
          <w:tcPr>
            <w:tcW w:w="9752" w:type="dxa"/>
            <w:gridSpan w:val="2"/>
          </w:tcPr>
          <w:p w14:paraId="4C537135" w14:textId="77777777" w:rsidR="003B40DD" w:rsidRPr="005B3ABD" w:rsidRDefault="003B40DD" w:rsidP="00882D36">
            <w:pPr>
              <w:keepNext/>
            </w:pPr>
          </w:p>
        </w:tc>
      </w:tr>
      <w:tr w:rsidR="003B40DD" w:rsidRPr="005B3ABD" w14:paraId="50FF2656" w14:textId="77777777" w:rsidTr="00882D36">
        <w:trPr>
          <w:jc w:val="center"/>
        </w:trPr>
        <w:tc>
          <w:tcPr>
            <w:tcW w:w="4876" w:type="dxa"/>
          </w:tcPr>
          <w:p w14:paraId="6096AC88" w14:textId="77777777" w:rsidR="003B40DD" w:rsidRPr="005B3ABD" w:rsidRDefault="003B40DD" w:rsidP="00882D36">
            <w:pPr>
              <w:pStyle w:val="ColumnHeading"/>
              <w:keepNext/>
              <w:rPr>
                <w:color w:val="0000FA"/>
              </w:rPr>
            </w:pPr>
            <w:r w:rsidRPr="005B3ABD">
              <w:t>Text proposed by the Commission</w:t>
            </w:r>
          </w:p>
        </w:tc>
        <w:tc>
          <w:tcPr>
            <w:tcW w:w="4876" w:type="dxa"/>
          </w:tcPr>
          <w:p w14:paraId="0F65D73E" w14:textId="77777777" w:rsidR="003B40DD" w:rsidRPr="005B3ABD" w:rsidRDefault="003B40DD" w:rsidP="00882D36">
            <w:pPr>
              <w:pStyle w:val="ColumnHeading"/>
              <w:keepNext/>
              <w:rPr>
                <w:color w:val="0000F5"/>
              </w:rPr>
            </w:pPr>
            <w:r w:rsidRPr="005B3ABD">
              <w:t>Amendment</w:t>
            </w:r>
          </w:p>
        </w:tc>
      </w:tr>
      <w:tr w:rsidR="003B40DD" w:rsidRPr="005B3ABD" w14:paraId="1CC07CB2" w14:textId="77777777" w:rsidTr="00882D36">
        <w:trPr>
          <w:jc w:val="center"/>
        </w:trPr>
        <w:tc>
          <w:tcPr>
            <w:tcW w:w="4876" w:type="dxa"/>
          </w:tcPr>
          <w:p w14:paraId="676E8FA6" w14:textId="77777777" w:rsidR="003B40DD" w:rsidRPr="005B3ABD" w:rsidRDefault="003B40DD" w:rsidP="00882D36">
            <w:pPr>
              <w:pStyle w:val="Normal6"/>
              <w:rPr>
                <w:color w:val="0000FA"/>
              </w:rPr>
            </w:pPr>
          </w:p>
        </w:tc>
        <w:tc>
          <w:tcPr>
            <w:tcW w:w="4876" w:type="dxa"/>
          </w:tcPr>
          <w:p w14:paraId="1789CE6A" w14:textId="77777777" w:rsidR="003B40DD" w:rsidRPr="005B3ABD" w:rsidRDefault="003B40DD" w:rsidP="00882D36">
            <w:pPr>
              <w:pStyle w:val="Normal6"/>
              <w:rPr>
                <w:color w:val="000005"/>
                <w:szCs w:val="24"/>
              </w:rPr>
            </w:pPr>
            <w:r w:rsidRPr="005B3ABD">
              <w:rPr>
                <w:b/>
                <w:i/>
              </w:rPr>
              <w:t>(22 a)</w:t>
            </w:r>
            <w:r w:rsidRPr="005B3ABD">
              <w:rPr>
                <w:b/>
                <w:i/>
              </w:rPr>
              <w:tab/>
              <w:t>In part I of Annex II, the following point shall be added:</w:t>
            </w:r>
          </w:p>
        </w:tc>
      </w:tr>
      <w:tr w:rsidR="003B40DD" w:rsidRPr="005B3ABD" w14:paraId="6A7A14BD" w14:textId="77777777" w:rsidTr="00882D36">
        <w:trPr>
          <w:jc w:val="center"/>
        </w:trPr>
        <w:tc>
          <w:tcPr>
            <w:tcW w:w="4876" w:type="dxa"/>
          </w:tcPr>
          <w:p w14:paraId="1F7C7762" w14:textId="77777777" w:rsidR="003B40DD" w:rsidRPr="005B3ABD" w:rsidRDefault="003B40DD" w:rsidP="00882D36">
            <w:pPr>
              <w:pStyle w:val="Normal6"/>
              <w:rPr>
                <w:color w:val="0000FA"/>
              </w:rPr>
            </w:pPr>
          </w:p>
        </w:tc>
        <w:tc>
          <w:tcPr>
            <w:tcW w:w="4876" w:type="dxa"/>
          </w:tcPr>
          <w:p w14:paraId="04FC9F5B" w14:textId="77777777" w:rsidR="003B40DD" w:rsidRPr="005B3ABD" w:rsidRDefault="003B40DD" w:rsidP="00882D36">
            <w:pPr>
              <w:pStyle w:val="Normal6"/>
              <w:rPr>
                <w:szCs w:val="24"/>
              </w:rPr>
            </w:pPr>
            <w:r w:rsidRPr="005B3ABD">
              <w:rPr>
                <w:b/>
                <w:i/>
              </w:rPr>
              <w:t>(2 a) ‘Beeswax’ is a substance that consists only of the secretion of wax glands of worker bees of the species Apis mellifera and is used for building hives.</w:t>
            </w:r>
          </w:p>
        </w:tc>
      </w:tr>
    </w:tbl>
    <w:p w14:paraId="687A76B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D29457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359B64C" w14:textId="77777777" w:rsidR="003B40DD" w:rsidRPr="005B3ABD" w:rsidRDefault="003B40DD" w:rsidP="003B40DD">
      <w:pPr>
        <w:pStyle w:val="Normal12Italic"/>
      </w:pPr>
      <w:r w:rsidRPr="005B3ABD">
        <w:t>Definitions of hive products: beeswax.</w:t>
      </w:r>
    </w:p>
    <w:p w14:paraId="53B36EEE" w14:textId="77777777" w:rsidR="003B40DD" w:rsidRPr="005B3ABD" w:rsidRDefault="003B40DD" w:rsidP="003B40DD">
      <w:r w:rsidRPr="005B3ABD">
        <w:rPr>
          <w:rStyle w:val="HideTWBExt"/>
          <w:noProof w:val="0"/>
          <w:color w:val="auto"/>
        </w:rPr>
        <w:t>&lt;/Amend&gt;</w:t>
      </w:r>
    </w:p>
    <w:p w14:paraId="7E42B12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79</w:t>
      </w:r>
      <w:r w:rsidRPr="005B3ABD">
        <w:rPr>
          <w:rStyle w:val="HideTWBExt"/>
          <w:b w:val="0"/>
          <w:noProof w:val="0"/>
          <w:color w:val="auto"/>
        </w:rPr>
        <w:t>&lt;/NumAm&gt;</w:t>
      </w:r>
    </w:p>
    <w:p w14:paraId="5F928E03"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45F048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29 b (new)</w:t>
      </w:r>
      <w:r w:rsidRPr="005B3ABD">
        <w:rPr>
          <w:rStyle w:val="HideTWBExt"/>
          <w:b w:val="0"/>
          <w:noProof w:val="0"/>
          <w:color w:val="auto"/>
        </w:rPr>
        <w:t>&lt;/Article&gt;</w:t>
      </w:r>
    </w:p>
    <w:p w14:paraId="1C3C5C33"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52A9BEC2" w14:textId="77777777" w:rsidR="003B40DD" w:rsidRPr="005B3ABD" w:rsidRDefault="003B40DD" w:rsidP="003B40DD">
      <w:r w:rsidRPr="005B3ABD">
        <w:rPr>
          <w:rStyle w:val="HideTWBExt"/>
          <w:noProof w:val="0"/>
          <w:color w:val="auto"/>
        </w:rPr>
        <w:t>&lt;Article2&gt;</w:t>
      </w:r>
      <w:r w:rsidRPr="005B3ABD">
        <w:t>Annex II – part IX – paragraph 2 b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D523A50" w14:textId="77777777" w:rsidTr="00882D36">
        <w:trPr>
          <w:jc w:val="center"/>
        </w:trPr>
        <w:tc>
          <w:tcPr>
            <w:tcW w:w="9752" w:type="dxa"/>
            <w:gridSpan w:val="2"/>
          </w:tcPr>
          <w:p w14:paraId="5507F516" w14:textId="77777777" w:rsidR="003B40DD" w:rsidRPr="005B3ABD" w:rsidRDefault="003B40DD" w:rsidP="00882D36">
            <w:pPr>
              <w:keepNext/>
            </w:pPr>
          </w:p>
        </w:tc>
      </w:tr>
      <w:tr w:rsidR="003B40DD" w:rsidRPr="005B3ABD" w14:paraId="3E2EDA7B" w14:textId="77777777" w:rsidTr="00882D36">
        <w:trPr>
          <w:jc w:val="center"/>
        </w:trPr>
        <w:tc>
          <w:tcPr>
            <w:tcW w:w="4876" w:type="dxa"/>
          </w:tcPr>
          <w:p w14:paraId="4693E96D" w14:textId="77777777" w:rsidR="003B40DD" w:rsidRPr="005B3ABD" w:rsidRDefault="003B40DD" w:rsidP="00882D36">
            <w:pPr>
              <w:pStyle w:val="ColumnHeading"/>
              <w:keepNext/>
              <w:rPr>
                <w:color w:val="0000FA"/>
              </w:rPr>
            </w:pPr>
            <w:r w:rsidRPr="005B3ABD">
              <w:t>Text proposed by the Commission</w:t>
            </w:r>
          </w:p>
        </w:tc>
        <w:tc>
          <w:tcPr>
            <w:tcW w:w="4876" w:type="dxa"/>
          </w:tcPr>
          <w:p w14:paraId="336ED6B0" w14:textId="77777777" w:rsidR="003B40DD" w:rsidRPr="005B3ABD" w:rsidRDefault="003B40DD" w:rsidP="00882D36">
            <w:pPr>
              <w:pStyle w:val="ColumnHeading"/>
              <w:keepNext/>
              <w:rPr>
                <w:color w:val="0000F5"/>
              </w:rPr>
            </w:pPr>
            <w:r w:rsidRPr="005B3ABD">
              <w:t>Amendment</w:t>
            </w:r>
          </w:p>
        </w:tc>
      </w:tr>
      <w:tr w:rsidR="003B40DD" w:rsidRPr="005B3ABD" w14:paraId="42220B35" w14:textId="77777777" w:rsidTr="00882D36">
        <w:trPr>
          <w:jc w:val="center"/>
        </w:trPr>
        <w:tc>
          <w:tcPr>
            <w:tcW w:w="4876" w:type="dxa"/>
          </w:tcPr>
          <w:p w14:paraId="26807188" w14:textId="77777777" w:rsidR="003B40DD" w:rsidRPr="005B3ABD" w:rsidRDefault="003B40DD" w:rsidP="00882D36">
            <w:pPr>
              <w:pStyle w:val="Normal6"/>
              <w:rPr>
                <w:color w:val="0000FA"/>
              </w:rPr>
            </w:pPr>
          </w:p>
        </w:tc>
        <w:tc>
          <w:tcPr>
            <w:tcW w:w="4876" w:type="dxa"/>
          </w:tcPr>
          <w:p w14:paraId="289047DF" w14:textId="77777777" w:rsidR="003B40DD" w:rsidRPr="005B3ABD" w:rsidRDefault="003B40DD" w:rsidP="00882D36">
            <w:pPr>
              <w:pStyle w:val="Normal6"/>
              <w:rPr>
                <w:color w:val="000005"/>
                <w:szCs w:val="24"/>
              </w:rPr>
            </w:pPr>
            <w:r w:rsidRPr="005B3ABD">
              <w:rPr>
                <w:b/>
                <w:i/>
              </w:rPr>
              <w:t>(29 b)</w:t>
            </w:r>
            <w:r w:rsidRPr="005B3ABD">
              <w:rPr>
                <w:b/>
                <w:i/>
              </w:rPr>
              <w:tab/>
              <w:t>In part IX of Annex II, the following point shall be added:</w:t>
            </w:r>
          </w:p>
        </w:tc>
      </w:tr>
      <w:tr w:rsidR="003B40DD" w:rsidRPr="005B3ABD" w14:paraId="396C6E4A" w14:textId="77777777" w:rsidTr="00882D36">
        <w:trPr>
          <w:jc w:val="center"/>
        </w:trPr>
        <w:tc>
          <w:tcPr>
            <w:tcW w:w="4876" w:type="dxa"/>
          </w:tcPr>
          <w:p w14:paraId="2F14B7E3" w14:textId="77777777" w:rsidR="003B40DD" w:rsidRPr="005B3ABD" w:rsidRDefault="003B40DD" w:rsidP="00882D36">
            <w:pPr>
              <w:pStyle w:val="Normal6"/>
              <w:rPr>
                <w:color w:val="0000FA"/>
              </w:rPr>
            </w:pPr>
          </w:p>
        </w:tc>
        <w:tc>
          <w:tcPr>
            <w:tcW w:w="4876" w:type="dxa"/>
          </w:tcPr>
          <w:p w14:paraId="48DF4BD1" w14:textId="77777777" w:rsidR="003B40DD" w:rsidRPr="005B3ABD" w:rsidRDefault="003B40DD" w:rsidP="00882D36">
            <w:pPr>
              <w:pStyle w:val="Normal6"/>
              <w:rPr>
                <w:szCs w:val="24"/>
              </w:rPr>
            </w:pPr>
            <w:r w:rsidRPr="005B3ABD">
              <w:rPr>
                <w:b/>
                <w:i/>
              </w:rPr>
              <w:t>(2 b) ‘Royal jelly’ is a natural substance secreted by the hypopharyngeal and mandibular glands of nurse bees of the species Apis mellifera. This substance is mainly fed to larvae and queens; it is a fresh, natural, unprocessed product. It may be filtered (without ultrafiltration), although no substance may be added.</w:t>
            </w:r>
          </w:p>
        </w:tc>
      </w:tr>
    </w:tbl>
    <w:p w14:paraId="0FCFCCCD"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1F085A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3432AF5" w14:textId="77777777" w:rsidR="003B40DD" w:rsidRPr="005B3ABD" w:rsidRDefault="003B40DD" w:rsidP="003B40DD">
      <w:pPr>
        <w:pStyle w:val="Normal12Italic"/>
      </w:pPr>
      <w:r w:rsidRPr="005B3ABD">
        <w:t>Definitions of hive products: royal jelly</w:t>
      </w:r>
    </w:p>
    <w:p w14:paraId="72D3DF0E" w14:textId="77777777" w:rsidR="003B40DD" w:rsidRPr="005B3ABD" w:rsidRDefault="003B40DD" w:rsidP="003B40DD">
      <w:r w:rsidRPr="005B3ABD">
        <w:rPr>
          <w:rStyle w:val="HideTWBExt"/>
          <w:noProof w:val="0"/>
          <w:color w:val="auto"/>
        </w:rPr>
        <w:t>&lt;/Amend&gt;</w:t>
      </w:r>
    </w:p>
    <w:p w14:paraId="60C2BAEF"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80</w:t>
      </w:r>
      <w:r w:rsidRPr="005B3ABD">
        <w:rPr>
          <w:rStyle w:val="HideTWBExt"/>
          <w:b w:val="0"/>
          <w:noProof w:val="0"/>
          <w:color w:val="auto"/>
        </w:rPr>
        <w:t>&lt;/NumAm&gt;</w:t>
      </w:r>
    </w:p>
    <w:p w14:paraId="298A479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8E9C48D"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29 c (new)</w:t>
      </w:r>
      <w:r w:rsidRPr="005B3ABD">
        <w:rPr>
          <w:rStyle w:val="HideTWBExt"/>
          <w:b w:val="0"/>
          <w:noProof w:val="0"/>
          <w:color w:val="auto"/>
        </w:rPr>
        <w:t>&lt;/Article&gt;</w:t>
      </w:r>
    </w:p>
    <w:p w14:paraId="7B26146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EE8F885" w14:textId="77777777" w:rsidR="003B40DD" w:rsidRPr="005B3ABD" w:rsidRDefault="003B40DD" w:rsidP="003B40DD">
      <w:r w:rsidRPr="005B3ABD">
        <w:rPr>
          <w:rStyle w:val="HideTWBExt"/>
          <w:noProof w:val="0"/>
          <w:color w:val="auto"/>
        </w:rPr>
        <w:t>&lt;Article2&gt;</w:t>
      </w:r>
      <w:r w:rsidRPr="005B3ABD">
        <w:t>Annex II – part IX – paragraph 2 c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6C6DE8C" w14:textId="77777777" w:rsidTr="00882D36">
        <w:trPr>
          <w:jc w:val="center"/>
        </w:trPr>
        <w:tc>
          <w:tcPr>
            <w:tcW w:w="9752" w:type="dxa"/>
            <w:gridSpan w:val="2"/>
          </w:tcPr>
          <w:p w14:paraId="4A930F83" w14:textId="77777777" w:rsidR="003B40DD" w:rsidRPr="005B3ABD" w:rsidRDefault="003B40DD" w:rsidP="00882D36">
            <w:pPr>
              <w:keepNext/>
            </w:pPr>
          </w:p>
        </w:tc>
      </w:tr>
      <w:tr w:rsidR="003B40DD" w:rsidRPr="005B3ABD" w14:paraId="53CD68C3" w14:textId="77777777" w:rsidTr="00882D36">
        <w:trPr>
          <w:jc w:val="center"/>
        </w:trPr>
        <w:tc>
          <w:tcPr>
            <w:tcW w:w="4876" w:type="dxa"/>
          </w:tcPr>
          <w:p w14:paraId="16545F0D" w14:textId="77777777" w:rsidR="003B40DD" w:rsidRPr="005B3ABD" w:rsidRDefault="003B40DD" w:rsidP="00882D36">
            <w:pPr>
              <w:pStyle w:val="ColumnHeading"/>
              <w:keepNext/>
              <w:rPr>
                <w:color w:val="0000FA"/>
              </w:rPr>
            </w:pPr>
            <w:r w:rsidRPr="005B3ABD">
              <w:t>Text proposed by the Commission</w:t>
            </w:r>
          </w:p>
        </w:tc>
        <w:tc>
          <w:tcPr>
            <w:tcW w:w="4876" w:type="dxa"/>
          </w:tcPr>
          <w:p w14:paraId="3DCF466C" w14:textId="77777777" w:rsidR="003B40DD" w:rsidRPr="005B3ABD" w:rsidRDefault="003B40DD" w:rsidP="00882D36">
            <w:pPr>
              <w:pStyle w:val="ColumnHeading"/>
              <w:keepNext/>
              <w:rPr>
                <w:color w:val="0000F5"/>
              </w:rPr>
            </w:pPr>
            <w:r w:rsidRPr="005B3ABD">
              <w:t>Amendment</w:t>
            </w:r>
          </w:p>
        </w:tc>
      </w:tr>
      <w:tr w:rsidR="003B40DD" w:rsidRPr="005B3ABD" w14:paraId="10F0903F" w14:textId="77777777" w:rsidTr="00882D36">
        <w:trPr>
          <w:jc w:val="center"/>
        </w:trPr>
        <w:tc>
          <w:tcPr>
            <w:tcW w:w="4876" w:type="dxa"/>
          </w:tcPr>
          <w:p w14:paraId="0A38DE47" w14:textId="77777777" w:rsidR="003B40DD" w:rsidRPr="005B3ABD" w:rsidRDefault="003B40DD" w:rsidP="00882D36">
            <w:pPr>
              <w:pStyle w:val="Normal6"/>
              <w:rPr>
                <w:color w:val="0000FA"/>
              </w:rPr>
            </w:pPr>
          </w:p>
        </w:tc>
        <w:tc>
          <w:tcPr>
            <w:tcW w:w="4876" w:type="dxa"/>
          </w:tcPr>
          <w:p w14:paraId="42B410AD" w14:textId="77777777" w:rsidR="003B40DD" w:rsidRPr="005B3ABD" w:rsidRDefault="003B40DD" w:rsidP="00882D36">
            <w:pPr>
              <w:pStyle w:val="Normal6"/>
              <w:rPr>
                <w:color w:val="000005"/>
                <w:szCs w:val="24"/>
              </w:rPr>
            </w:pPr>
            <w:r w:rsidRPr="005B3ABD">
              <w:rPr>
                <w:b/>
                <w:i/>
              </w:rPr>
              <w:t>(29 c)</w:t>
            </w:r>
            <w:r w:rsidRPr="005B3ABD">
              <w:rPr>
                <w:b/>
                <w:i/>
              </w:rPr>
              <w:tab/>
              <w:t>In part IX of Annex II, the following point shall be added:</w:t>
            </w:r>
          </w:p>
        </w:tc>
      </w:tr>
      <w:tr w:rsidR="003B40DD" w:rsidRPr="005B3ABD" w14:paraId="7806BBAC" w14:textId="77777777" w:rsidTr="00882D36">
        <w:trPr>
          <w:jc w:val="center"/>
        </w:trPr>
        <w:tc>
          <w:tcPr>
            <w:tcW w:w="4876" w:type="dxa"/>
          </w:tcPr>
          <w:p w14:paraId="77DA7ABA" w14:textId="77777777" w:rsidR="003B40DD" w:rsidRPr="005B3ABD" w:rsidRDefault="003B40DD" w:rsidP="00882D36">
            <w:pPr>
              <w:pStyle w:val="Normal6"/>
              <w:rPr>
                <w:color w:val="0000FA"/>
              </w:rPr>
            </w:pPr>
          </w:p>
        </w:tc>
        <w:tc>
          <w:tcPr>
            <w:tcW w:w="4876" w:type="dxa"/>
          </w:tcPr>
          <w:p w14:paraId="13A33A78" w14:textId="77777777" w:rsidR="003B40DD" w:rsidRPr="005B3ABD" w:rsidRDefault="003B40DD" w:rsidP="00882D36">
            <w:pPr>
              <w:pStyle w:val="Normal6"/>
              <w:rPr>
                <w:szCs w:val="24"/>
              </w:rPr>
            </w:pPr>
            <w:r w:rsidRPr="005B3ABD">
              <w:rPr>
                <w:b/>
                <w:i/>
              </w:rPr>
              <w:t>(2 c) ‘Propolis’ is an exclusively natural, vegetable resin gathered by worker bees of the species Apis mellifera from certain plant sources, to which their own secretion (mainly beeswax and saliva) is added. The resin is mainly used to protect the hive.</w:t>
            </w:r>
          </w:p>
        </w:tc>
      </w:tr>
    </w:tbl>
    <w:p w14:paraId="355AAA8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24CA60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18A4219" w14:textId="77777777" w:rsidR="003B40DD" w:rsidRPr="005B3ABD" w:rsidRDefault="003B40DD" w:rsidP="003B40DD">
      <w:pPr>
        <w:pStyle w:val="Normal12Italic"/>
      </w:pPr>
      <w:r w:rsidRPr="005B3ABD">
        <w:t>Definitions of hive products: propolis</w:t>
      </w:r>
    </w:p>
    <w:p w14:paraId="30166DC2" w14:textId="77777777" w:rsidR="003B40DD" w:rsidRPr="005B3ABD" w:rsidRDefault="003B40DD" w:rsidP="003B40DD">
      <w:r w:rsidRPr="005B3ABD">
        <w:rPr>
          <w:rStyle w:val="HideTWBExt"/>
          <w:noProof w:val="0"/>
          <w:color w:val="auto"/>
        </w:rPr>
        <w:t>&lt;/Amend&gt;</w:t>
      </w:r>
    </w:p>
    <w:p w14:paraId="4DDF6FC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81</w:t>
      </w:r>
      <w:r w:rsidRPr="005B3ABD">
        <w:rPr>
          <w:rStyle w:val="HideTWBExt"/>
          <w:b w:val="0"/>
          <w:noProof w:val="0"/>
          <w:color w:val="auto"/>
        </w:rPr>
        <w:t>&lt;/NumAm&gt;</w:t>
      </w:r>
    </w:p>
    <w:p w14:paraId="0FD0DFF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B2DE8E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29 d (new)</w:t>
      </w:r>
      <w:r w:rsidRPr="005B3ABD">
        <w:rPr>
          <w:rStyle w:val="HideTWBExt"/>
          <w:b w:val="0"/>
          <w:noProof w:val="0"/>
          <w:color w:val="auto"/>
        </w:rPr>
        <w:t>&lt;/Article&gt;</w:t>
      </w:r>
    </w:p>
    <w:p w14:paraId="0B4D4A74" w14:textId="77777777" w:rsidR="003B40DD" w:rsidRPr="005B3ABD" w:rsidRDefault="003B40DD" w:rsidP="003B40DD">
      <w:pPr>
        <w:keepNext/>
      </w:pPr>
      <w:r w:rsidRPr="005B3ABD">
        <w:rPr>
          <w:rStyle w:val="HideTWBExt"/>
          <w:noProof w:val="0"/>
          <w:color w:val="auto"/>
        </w:rPr>
        <w:lastRenderedPageBreak/>
        <w:t>&lt;DocAmend2&gt;</w:t>
      </w:r>
      <w:r w:rsidRPr="005B3ABD">
        <w:t>Regulation (EU) No 1308/2013</w:t>
      </w:r>
      <w:r w:rsidRPr="005B3ABD">
        <w:rPr>
          <w:rStyle w:val="HideTWBExt"/>
          <w:noProof w:val="0"/>
          <w:color w:val="auto"/>
        </w:rPr>
        <w:t>&lt;/DocAmend2&gt;</w:t>
      </w:r>
    </w:p>
    <w:p w14:paraId="2F2DF7C4" w14:textId="77777777" w:rsidR="003B40DD" w:rsidRPr="005B3ABD" w:rsidRDefault="003B40DD" w:rsidP="003B40DD">
      <w:r w:rsidRPr="005B3ABD">
        <w:rPr>
          <w:rStyle w:val="HideTWBExt"/>
          <w:noProof w:val="0"/>
          <w:color w:val="auto"/>
        </w:rPr>
        <w:t>&lt;Article2&gt;</w:t>
      </w:r>
      <w:r w:rsidRPr="005B3ABD">
        <w:t>Annex II – part IX – paragraph 2 d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22A71B7" w14:textId="77777777" w:rsidTr="00882D36">
        <w:trPr>
          <w:jc w:val="center"/>
        </w:trPr>
        <w:tc>
          <w:tcPr>
            <w:tcW w:w="9752" w:type="dxa"/>
            <w:gridSpan w:val="2"/>
          </w:tcPr>
          <w:p w14:paraId="1186F9D1" w14:textId="77777777" w:rsidR="003B40DD" w:rsidRPr="005B3ABD" w:rsidRDefault="003B40DD" w:rsidP="00882D36">
            <w:pPr>
              <w:keepNext/>
            </w:pPr>
          </w:p>
        </w:tc>
      </w:tr>
      <w:tr w:rsidR="003B40DD" w:rsidRPr="005B3ABD" w14:paraId="48F2D718" w14:textId="77777777" w:rsidTr="00882D36">
        <w:trPr>
          <w:jc w:val="center"/>
        </w:trPr>
        <w:tc>
          <w:tcPr>
            <w:tcW w:w="4876" w:type="dxa"/>
          </w:tcPr>
          <w:p w14:paraId="31592218" w14:textId="77777777" w:rsidR="003B40DD" w:rsidRPr="005B3ABD" w:rsidRDefault="003B40DD" w:rsidP="00882D36">
            <w:pPr>
              <w:pStyle w:val="ColumnHeading"/>
              <w:keepNext/>
              <w:rPr>
                <w:color w:val="0000FA"/>
              </w:rPr>
            </w:pPr>
            <w:r w:rsidRPr="005B3ABD">
              <w:t>Text proposed by the Commission</w:t>
            </w:r>
          </w:p>
        </w:tc>
        <w:tc>
          <w:tcPr>
            <w:tcW w:w="4876" w:type="dxa"/>
          </w:tcPr>
          <w:p w14:paraId="437DB76E" w14:textId="77777777" w:rsidR="003B40DD" w:rsidRPr="005B3ABD" w:rsidRDefault="003B40DD" w:rsidP="00882D36">
            <w:pPr>
              <w:pStyle w:val="ColumnHeading"/>
              <w:keepNext/>
              <w:rPr>
                <w:color w:val="0000F5"/>
              </w:rPr>
            </w:pPr>
            <w:r w:rsidRPr="005B3ABD">
              <w:t>Amendment</w:t>
            </w:r>
          </w:p>
        </w:tc>
      </w:tr>
      <w:tr w:rsidR="003B40DD" w:rsidRPr="005B3ABD" w14:paraId="400CC8A3" w14:textId="77777777" w:rsidTr="00882D36">
        <w:trPr>
          <w:jc w:val="center"/>
        </w:trPr>
        <w:tc>
          <w:tcPr>
            <w:tcW w:w="4876" w:type="dxa"/>
          </w:tcPr>
          <w:p w14:paraId="27328F48" w14:textId="77777777" w:rsidR="003B40DD" w:rsidRPr="005B3ABD" w:rsidRDefault="003B40DD" w:rsidP="00882D36">
            <w:pPr>
              <w:pStyle w:val="Normal6"/>
              <w:rPr>
                <w:color w:val="0000FA"/>
              </w:rPr>
            </w:pPr>
          </w:p>
        </w:tc>
        <w:tc>
          <w:tcPr>
            <w:tcW w:w="4876" w:type="dxa"/>
          </w:tcPr>
          <w:p w14:paraId="59AF95A5" w14:textId="77777777" w:rsidR="003B40DD" w:rsidRPr="005B3ABD" w:rsidRDefault="003B40DD" w:rsidP="00882D36">
            <w:pPr>
              <w:pStyle w:val="Normal6"/>
              <w:rPr>
                <w:color w:val="000005"/>
                <w:szCs w:val="24"/>
              </w:rPr>
            </w:pPr>
            <w:r w:rsidRPr="005B3ABD">
              <w:rPr>
                <w:b/>
                <w:i/>
              </w:rPr>
              <w:t>(29 d)</w:t>
            </w:r>
            <w:r w:rsidRPr="005B3ABD">
              <w:rPr>
                <w:b/>
                <w:i/>
              </w:rPr>
              <w:tab/>
              <w:t>In part IX of Annex II, the following point shall be added:</w:t>
            </w:r>
          </w:p>
        </w:tc>
      </w:tr>
      <w:tr w:rsidR="003B40DD" w:rsidRPr="005B3ABD" w14:paraId="4E80093D" w14:textId="77777777" w:rsidTr="00882D36">
        <w:trPr>
          <w:jc w:val="center"/>
        </w:trPr>
        <w:tc>
          <w:tcPr>
            <w:tcW w:w="4876" w:type="dxa"/>
          </w:tcPr>
          <w:p w14:paraId="4579EC0F" w14:textId="77777777" w:rsidR="003B40DD" w:rsidRPr="005B3ABD" w:rsidRDefault="003B40DD" w:rsidP="00882D36">
            <w:pPr>
              <w:pStyle w:val="Normal6"/>
              <w:rPr>
                <w:color w:val="0000FA"/>
              </w:rPr>
            </w:pPr>
          </w:p>
        </w:tc>
        <w:tc>
          <w:tcPr>
            <w:tcW w:w="4876" w:type="dxa"/>
          </w:tcPr>
          <w:p w14:paraId="7161C2EE" w14:textId="77777777" w:rsidR="003B40DD" w:rsidRPr="005B3ABD" w:rsidRDefault="003B40DD" w:rsidP="00882D36">
            <w:pPr>
              <w:pStyle w:val="Normal6"/>
              <w:rPr>
                <w:szCs w:val="24"/>
              </w:rPr>
            </w:pPr>
            <w:r w:rsidRPr="005B3ABD">
              <w:rPr>
                <w:b/>
                <w:i/>
              </w:rPr>
              <w:t>(2 d) ‘Pollen granules’ are accumulated pollen grains gathered be worker bees of the species Apis mellifera, which they compact with their hind legs using honey and/or nectar and bee secretion.</w:t>
            </w:r>
          </w:p>
        </w:tc>
      </w:tr>
    </w:tbl>
    <w:p w14:paraId="20EF4ED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7B0543E"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29C8299" w14:textId="77777777" w:rsidR="003B40DD" w:rsidRPr="005B3ABD" w:rsidRDefault="003B40DD" w:rsidP="003B40DD">
      <w:pPr>
        <w:pStyle w:val="Normal12Italic"/>
      </w:pPr>
      <w:r w:rsidRPr="005B3ABD">
        <w:t>Definitions of hive products: pollen granules.</w:t>
      </w:r>
    </w:p>
    <w:p w14:paraId="294B0AA4" w14:textId="77777777" w:rsidR="003B40DD" w:rsidRPr="005B3ABD" w:rsidRDefault="003B40DD" w:rsidP="003B40DD">
      <w:r w:rsidRPr="005B3ABD">
        <w:rPr>
          <w:rStyle w:val="HideTWBExt"/>
          <w:noProof w:val="0"/>
          <w:color w:val="auto"/>
        </w:rPr>
        <w:t>&lt;/Amend&gt;</w:t>
      </w:r>
    </w:p>
    <w:p w14:paraId="57405EA0"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82</w:t>
      </w:r>
      <w:r w:rsidRPr="005B3ABD">
        <w:rPr>
          <w:rStyle w:val="HideTWBExt"/>
          <w:b w:val="0"/>
          <w:noProof w:val="0"/>
          <w:color w:val="auto"/>
        </w:rPr>
        <w:t>&lt;/NumAm&gt;</w:t>
      </w:r>
    </w:p>
    <w:p w14:paraId="5B7B080D"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9F0B21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29 e (new)</w:t>
      </w:r>
      <w:r w:rsidRPr="005B3ABD">
        <w:rPr>
          <w:rStyle w:val="HideTWBExt"/>
          <w:b w:val="0"/>
          <w:noProof w:val="0"/>
          <w:color w:val="auto"/>
        </w:rPr>
        <w:t>&lt;/Article&gt;</w:t>
      </w:r>
    </w:p>
    <w:p w14:paraId="41ECEE41"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97CFB8C" w14:textId="77777777" w:rsidR="003B40DD" w:rsidRPr="005B3ABD" w:rsidRDefault="003B40DD" w:rsidP="003B40DD">
      <w:r w:rsidRPr="005B3ABD">
        <w:rPr>
          <w:rStyle w:val="HideTWBExt"/>
          <w:noProof w:val="0"/>
          <w:color w:val="auto"/>
        </w:rPr>
        <w:t>&lt;Article2&gt;</w:t>
      </w:r>
      <w:r w:rsidRPr="005B3ABD">
        <w:t>Annex II – part IX – paragraph 2 e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5C1E516" w14:textId="77777777" w:rsidTr="00882D36">
        <w:trPr>
          <w:jc w:val="center"/>
        </w:trPr>
        <w:tc>
          <w:tcPr>
            <w:tcW w:w="9752" w:type="dxa"/>
            <w:gridSpan w:val="2"/>
          </w:tcPr>
          <w:p w14:paraId="0ACAEBBA" w14:textId="77777777" w:rsidR="003B40DD" w:rsidRPr="005B3ABD" w:rsidRDefault="003B40DD" w:rsidP="00882D36">
            <w:pPr>
              <w:keepNext/>
            </w:pPr>
          </w:p>
        </w:tc>
      </w:tr>
      <w:tr w:rsidR="003B40DD" w:rsidRPr="005B3ABD" w14:paraId="6D6222C1" w14:textId="77777777" w:rsidTr="00882D36">
        <w:trPr>
          <w:jc w:val="center"/>
        </w:trPr>
        <w:tc>
          <w:tcPr>
            <w:tcW w:w="4876" w:type="dxa"/>
          </w:tcPr>
          <w:p w14:paraId="1A7E3E68" w14:textId="77777777" w:rsidR="003B40DD" w:rsidRPr="005B3ABD" w:rsidRDefault="003B40DD" w:rsidP="00882D36">
            <w:pPr>
              <w:pStyle w:val="ColumnHeading"/>
              <w:keepNext/>
              <w:rPr>
                <w:color w:val="0000FA"/>
              </w:rPr>
            </w:pPr>
            <w:r w:rsidRPr="005B3ABD">
              <w:t>Text proposed by the Commission</w:t>
            </w:r>
          </w:p>
        </w:tc>
        <w:tc>
          <w:tcPr>
            <w:tcW w:w="4876" w:type="dxa"/>
          </w:tcPr>
          <w:p w14:paraId="782CE535" w14:textId="77777777" w:rsidR="003B40DD" w:rsidRPr="005B3ABD" w:rsidRDefault="003B40DD" w:rsidP="00882D36">
            <w:pPr>
              <w:pStyle w:val="ColumnHeading"/>
              <w:keepNext/>
              <w:rPr>
                <w:color w:val="0000F5"/>
              </w:rPr>
            </w:pPr>
            <w:r w:rsidRPr="005B3ABD">
              <w:t>Amendment</w:t>
            </w:r>
          </w:p>
        </w:tc>
      </w:tr>
      <w:tr w:rsidR="003B40DD" w:rsidRPr="005B3ABD" w14:paraId="01ECDA76" w14:textId="77777777" w:rsidTr="00882D36">
        <w:trPr>
          <w:jc w:val="center"/>
        </w:trPr>
        <w:tc>
          <w:tcPr>
            <w:tcW w:w="4876" w:type="dxa"/>
          </w:tcPr>
          <w:p w14:paraId="68DC33BB" w14:textId="77777777" w:rsidR="003B40DD" w:rsidRPr="005B3ABD" w:rsidRDefault="003B40DD" w:rsidP="00882D36">
            <w:pPr>
              <w:pStyle w:val="Normal6"/>
              <w:rPr>
                <w:color w:val="0000FA"/>
              </w:rPr>
            </w:pPr>
          </w:p>
        </w:tc>
        <w:tc>
          <w:tcPr>
            <w:tcW w:w="4876" w:type="dxa"/>
          </w:tcPr>
          <w:p w14:paraId="62B9833E" w14:textId="77777777" w:rsidR="003B40DD" w:rsidRPr="005B3ABD" w:rsidRDefault="003B40DD" w:rsidP="00882D36">
            <w:pPr>
              <w:pStyle w:val="Normal6"/>
              <w:rPr>
                <w:color w:val="000005"/>
                <w:szCs w:val="24"/>
              </w:rPr>
            </w:pPr>
            <w:r w:rsidRPr="005B3ABD">
              <w:rPr>
                <w:b/>
                <w:i/>
              </w:rPr>
              <w:t>(29 e)</w:t>
            </w:r>
            <w:r w:rsidRPr="005B3ABD">
              <w:rPr>
                <w:b/>
                <w:i/>
              </w:rPr>
              <w:tab/>
              <w:t>In part IX of Annex II, the following point shall be added:</w:t>
            </w:r>
          </w:p>
        </w:tc>
      </w:tr>
      <w:tr w:rsidR="003B40DD" w:rsidRPr="005B3ABD" w14:paraId="748AA7A4" w14:textId="77777777" w:rsidTr="00882D36">
        <w:trPr>
          <w:jc w:val="center"/>
        </w:trPr>
        <w:tc>
          <w:tcPr>
            <w:tcW w:w="4876" w:type="dxa"/>
          </w:tcPr>
          <w:p w14:paraId="76859AC9" w14:textId="77777777" w:rsidR="003B40DD" w:rsidRPr="005B3ABD" w:rsidRDefault="003B40DD" w:rsidP="00882D36">
            <w:pPr>
              <w:pStyle w:val="Normal6"/>
              <w:rPr>
                <w:color w:val="0000FA"/>
              </w:rPr>
            </w:pPr>
          </w:p>
        </w:tc>
        <w:tc>
          <w:tcPr>
            <w:tcW w:w="4876" w:type="dxa"/>
          </w:tcPr>
          <w:p w14:paraId="7E8FFA84" w14:textId="77777777" w:rsidR="003B40DD" w:rsidRPr="005B3ABD" w:rsidRDefault="003B40DD" w:rsidP="00882D36">
            <w:pPr>
              <w:pStyle w:val="Normal6"/>
              <w:rPr>
                <w:szCs w:val="24"/>
              </w:rPr>
            </w:pPr>
            <w:r w:rsidRPr="005B3ABD">
              <w:rPr>
                <w:b/>
                <w:i/>
              </w:rPr>
              <w:t>(2 e) ‘Bee pollen’ or ‘bee bread’ is pollen balls that are packed by bees in beehive cells and that undergo natural processing resulting in the presence of enzymes and commensal microbiota. It is used by nurse bees to feed the brood.</w:t>
            </w:r>
          </w:p>
        </w:tc>
      </w:tr>
    </w:tbl>
    <w:p w14:paraId="064E2B01"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FD4728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143B2CA5" w14:textId="77777777" w:rsidR="003B40DD" w:rsidRPr="005B3ABD" w:rsidRDefault="003B40DD" w:rsidP="003B40DD">
      <w:pPr>
        <w:pStyle w:val="Normal12Italic"/>
      </w:pPr>
      <w:r w:rsidRPr="005B3ABD">
        <w:t>Definitions of hive products: bee pollen or bee bread.</w:t>
      </w:r>
    </w:p>
    <w:p w14:paraId="3D2C6A04" w14:textId="77777777" w:rsidR="003B40DD" w:rsidRPr="005B3ABD" w:rsidRDefault="003B40DD" w:rsidP="003B40DD">
      <w:r w:rsidRPr="005B3ABD">
        <w:rPr>
          <w:rStyle w:val="HideTWBExt"/>
          <w:noProof w:val="0"/>
          <w:color w:val="auto"/>
        </w:rPr>
        <w:t>&lt;/Amend&gt;</w:t>
      </w:r>
    </w:p>
    <w:p w14:paraId="5826F219"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83</w:t>
      </w:r>
      <w:r w:rsidRPr="005B3ABD">
        <w:rPr>
          <w:rStyle w:val="HideTWBExt"/>
          <w:b w:val="0"/>
          <w:noProof w:val="0"/>
          <w:color w:val="auto"/>
        </w:rPr>
        <w:t>&lt;/NumAm&gt;</w:t>
      </w:r>
    </w:p>
    <w:p w14:paraId="69227AFA"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AD4B71D"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29 f (new)</w:t>
      </w:r>
      <w:r w:rsidRPr="005B3ABD">
        <w:rPr>
          <w:rStyle w:val="HideTWBExt"/>
          <w:b w:val="0"/>
          <w:noProof w:val="0"/>
          <w:color w:val="auto"/>
        </w:rPr>
        <w:t>&lt;/Article&gt;</w:t>
      </w:r>
    </w:p>
    <w:p w14:paraId="7D81BBC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50CF4CA" w14:textId="77777777" w:rsidR="003B40DD" w:rsidRPr="005B3ABD" w:rsidRDefault="003B40DD" w:rsidP="003B40DD">
      <w:r w:rsidRPr="005B3ABD">
        <w:rPr>
          <w:rStyle w:val="HideTWBExt"/>
          <w:noProof w:val="0"/>
          <w:color w:val="auto"/>
        </w:rPr>
        <w:t>&lt;Article2&gt;</w:t>
      </w:r>
      <w:r w:rsidRPr="005B3ABD">
        <w:t>Annex II – part IX – paragraph 2 f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6CE0F3E" w14:textId="77777777" w:rsidTr="00882D36">
        <w:trPr>
          <w:jc w:val="center"/>
        </w:trPr>
        <w:tc>
          <w:tcPr>
            <w:tcW w:w="9752" w:type="dxa"/>
            <w:gridSpan w:val="2"/>
          </w:tcPr>
          <w:p w14:paraId="0D17D835" w14:textId="77777777" w:rsidR="003B40DD" w:rsidRPr="005B3ABD" w:rsidRDefault="003B40DD" w:rsidP="00882D36">
            <w:pPr>
              <w:keepNext/>
            </w:pPr>
          </w:p>
        </w:tc>
      </w:tr>
      <w:tr w:rsidR="003B40DD" w:rsidRPr="005B3ABD" w14:paraId="7F1E7EC0" w14:textId="77777777" w:rsidTr="00882D36">
        <w:trPr>
          <w:jc w:val="center"/>
        </w:trPr>
        <w:tc>
          <w:tcPr>
            <w:tcW w:w="4876" w:type="dxa"/>
          </w:tcPr>
          <w:p w14:paraId="0A2B9AE3" w14:textId="77777777" w:rsidR="003B40DD" w:rsidRPr="005B3ABD" w:rsidRDefault="003B40DD" w:rsidP="00882D36">
            <w:pPr>
              <w:pStyle w:val="ColumnHeading"/>
              <w:keepNext/>
              <w:rPr>
                <w:color w:val="0000FA"/>
              </w:rPr>
            </w:pPr>
            <w:r w:rsidRPr="005B3ABD">
              <w:t>Text proposed by the Commission</w:t>
            </w:r>
          </w:p>
        </w:tc>
        <w:tc>
          <w:tcPr>
            <w:tcW w:w="4876" w:type="dxa"/>
          </w:tcPr>
          <w:p w14:paraId="45E1B661" w14:textId="77777777" w:rsidR="003B40DD" w:rsidRPr="005B3ABD" w:rsidRDefault="003B40DD" w:rsidP="00882D36">
            <w:pPr>
              <w:pStyle w:val="ColumnHeading"/>
              <w:keepNext/>
              <w:rPr>
                <w:color w:val="0000F5"/>
              </w:rPr>
            </w:pPr>
            <w:r w:rsidRPr="005B3ABD">
              <w:t>Amendment</w:t>
            </w:r>
          </w:p>
        </w:tc>
      </w:tr>
      <w:tr w:rsidR="003B40DD" w:rsidRPr="005B3ABD" w14:paraId="13DE8A94" w14:textId="77777777" w:rsidTr="00882D36">
        <w:trPr>
          <w:jc w:val="center"/>
        </w:trPr>
        <w:tc>
          <w:tcPr>
            <w:tcW w:w="4876" w:type="dxa"/>
          </w:tcPr>
          <w:p w14:paraId="4FF191F2" w14:textId="77777777" w:rsidR="003B40DD" w:rsidRPr="005B3ABD" w:rsidRDefault="003B40DD" w:rsidP="00882D36">
            <w:pPr>
              <w:pStyle w:val="Normal6"/>
              <w:rPr>
                <w:color w:val="0000FA"/>
              </w:rPr>
            </w:pPr>
          </w:p>
        </w:tc>
        <w:tc>
          <w:tcPr>
            <w:tcW w:w="4876" w:type="dxa"/>
          </w:tcPr>
          <w:p w14:paraId="0178D70C" w14:textId="77777777" w:rsidR="003B40DD" w:rsidRPr="005B3ABD" w:rsidRDefault="003B40DD" w:rsidP="00882D36">
            <w:pPr>
              <w:pStyle w:val="Normal6"/>
              <w:rPr>
                <w:color w:val="000005"/>
                <w:szCs w:val="24"/>
              </w:rPr>
            </w:pPr>
            <w:r w:rsidRPr="005B3ABD">
              <w:rPr>
                <w:b/>
                <w:i/>
              </w:rPr>
              <w:t>(29 f)</w:t>
            </w:r>
            <w:r w:rsidRPr="005B3ABD">
              <w:rPr>
                <w:b/>
                <w:i/>
              </w:rPr>
              <w:tab/>
              <w:t>In part IX of Annex II, the following point shall be added:</w:t>
            </w:r>
          </w:p>
        </w:tc>
      </w:tr>
      <w:tr w:rsidR="003B40DD" w:rsidRPr="005B3ABD" w14:paraId="7EE8B1E3" w14:textId="77777777" w:rsidTr="00882D36">
        <w:trPr>
          <w:jc w:val="center"/>
        </w:trPr>
        <w:tc>
          <w:tcPr>
            <w:tcW w:w="4876" w:type="dxa"/>
          </w:tcPr>
          <w:p w14:paraId="5B77117A" w14:textId="77777777" w:rsidR="003B40DD" w:rsidRPr="005B3ABD" w:rsidRDefault="003B40DD" w:rsidP="00882D36">
            <w:pPr>
              <w:pStyle w:val="Normal6"/>
              <w:rPr>
                <w:color w:val="0000FA"/>
              </w:rPr>
            </w:pPr>
          </w:p>
        </w:tc>
        <w:tc>
          <w:tcPr>
            <w:tcW w:w="4876" w:type="dxa"/>
          </w:tcPr>
          <w:p w14:paraId="01E66621" w14:textId="77777777" w:rsidR="003B40DD" w:rsidRPr="005B3ABD" w:rsidRDefault="003B40DD" w:rsidP="00882D36">
            <w:pPr>
              <w:pStyle w:val="Normal6"/>
              <w:rPr>
                <w:szCs w:val="24"/>
              </w:rPr>
            </w:pPr>
            <w:r w:rsidRPr="005B3ABD">
              <w:rPr>
                <w:b/>
                <w:i/>
              </w:rPr>
              <w:t>(2 f) ‘Bee venom’ is the secretion from a bee’s venom gland that is used by bees to defend the hive against attacks.</w:t>
            </w:r>
          </w:p>
        </w:tc>
      </w:tr>
    </w:tbl>
    <w:p w14:paraId="3FFD509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740AB79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A3298F6" w14:textId="77777777" w:rsidR="003B40DD" w:rsidRPr="005B3ABD" w:rsidRDefault="003B40DD" w:rsidP="003B40DD">
      <w:pPr>
        <w:pStyle w:val="Normal12Italic"/>
      </w:pPr>
      <w:r w:rsidRPr="005B3ABD">
        <w:t>Definitions of hive products: bee venom;</w:t>
      </w:r>
    </w:p>
    <w:p w14:paraId="622305AF" w14:textId="77777777" w:rsidR="003B40DD" w:rsidRPr="005B3ABD" w:rsidRDefault="003B40DD" w:rsidP="003B40DD">
      <w:r w:rsidRPr="005B3ABD">
        <w:rPr>
          <w:rStyle w:val="HideTWBExt"/>
          <w:noProof w:val="0"/>
          <w:color w:val="auto"/>
        </w:rPr>
        <w:t>&lt;/Amend&gt;</w:t>
      </w:r>
    </w:p>
    <w:p w14:paraId="0DA3573A"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84</w:t>
      </w:r>
      <w:r w:rsidRPr="005B3ABD">
        <w:rPr>
          <w:rStyle w:val="HideTWBExt"/>
          <w:b w:val="0"/>
          <w:noProof w:val="0"/>
          <w:color w:val="auto"/>
        </w:rPr>
        <w:t>&lt;/NumAm&gt;</w:t>
      </w:r>
    </w:p>
    <w:p w14:paraId="4E5600B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4676D76"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a (new)</w:t>
      </w:r>
      <w:r w:rsidRPr="005B3ABD">
        <w:rPr>
          <w:rStyle w:val="HideTWBExt"/>
          <w:b w:val="0"/>
          <w:noProof w:val="0"/>
          <w:color w:val="auto"/>
        </w:rPr>
        <w:t>&lt;/Article&gt;</w:t>
      </w:r>
    </w:p>
    <w:p w14:paraId="1EDF2C0C"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2A99C93" w14:textId="77777777" w:rsidR="003B40DD" w:rsidRPr="005B3ABD" w:rsidRDefault="003B40DD" w:rsidP="003B40DD">
      <w:r w:rsidRPr="005B3ABD">
        <w:rPr>
          <w:rStyle w:val="HideTWBExt"/>
          <w:noProof w:val="0"/>
          <w:color w:val="auto"/>
        </w:rPr>
        <w:t>&lt;Article2&gt;</w:t>
      </w:r>
      <w:r w:rsidRPr="005B3ABD">
        <w:t>Annex VII – part I – title</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E308831" w14:textId="77777777" w:rsidTr="00882D36">
        <w:trPr>
          <w:jc w:val="center"/>
        </w:trPr>
        <w:tc>
          <w:tcPr>
            <w:tcW w:w="9752" w:type="dxa"/>
            <w:gridSpan w:val="2"/>
          </w:tcPr>
          <w:p w14:paraId="6FE8B9E5" w14:textId="77777777" w:rsidR="003B40DD" w:rsidRPr="005B3ABD" w:rsidRDefault="003B40DD" w:rsidP="00882D36">
            <w:pPr>
              <w:keepNext/>
            </w:pPr>
          </w:p>
        </w:tc>
      </w:tr>
      <w:tr w:rsidR="003B40DD" w:rsidRPr="005B3ABD" w14:paraId="04CBB255" w14:textId="77777777" w:rsidTr="00882D36">
        <w:trPr>
          <w:jc w:val="center"/>
        </w:trPr>
        <w:tc>
          <w:tcPr>
            <w:tcW w:w="4876" w:type="dxa"/>
          </w:tcPr>
          <w:p w14:paraId="36E59F56" w14:textId="77777777" w:rsidR="003B40DD" w:rsidRPr="005B3ABD" w:rsidRDefault="003B40DD" w:rsidP="00882D36">
            <w:pPr>
              <w:pStyle w:val="ColumnHeading"/>
              <w:keepNext/>
              <w:rPr>
                <w:color w:val="0000FA"/>
              </w:rPr>
            </w:pPr>
            <w:r w:rsidRPr="005B3ABD">
              <w:t>This text</w:t>
            </w:r>
          </w:p>
        </w:tc>
        <w:tc>
          <w:tcPr>
            <w:tcW w:w="4876" w:type="dxa"/>
          </w:tcPr>
          <w:p w14:paraId="221E706C" w14:textId="77777777" w:rsidR="003B40DD" w:rsidRPr="005B3ABD" w:rsidRDefault="003B40DD" w:rsidP="00882D36">
            <w:pPr>
              <w:pStyle w:val="ColumnHeading"/>
              <w:keepNext/>
              <w:rPr>
                <w:color w:val="0000F5"/>
              </w:rPr>
            </w:pPr>
            <w:r w:rsidRPr="005B3ABD">
              <w:t>Amendment</w:t>
            </w:r>
          </w:p>
        </w:tc>
      </w:tr>
      <w:tr w:rsidR="003B40DD" w:rsidRPr="005B3ABD" w14:paraId="5C937EB9" w14:textId="77777777" w:rsidTr="00882D36">
        <w:trPr>
          <w:jc w:val="center"/>
        </w:trPr>
        <w:tc>
          <w:tcPr>
            <w:tcW w:w="4876" w:type="dxa"/>
          </w:tcPr>
          <w:p w14:paraId="15852B37" w14:textId="77777777" w:rsidR="003B40DD" w:rsidRPr="005B3ABD" w:rsidRDefault="003B40DD" w:rsidP="00882D36">
            <w:pPr>
              <w:pStyle w:val="Normal6"/>
              <w:rPr>
                <w:color w:val="0000FA"/>
              </w:rPr>
            </w:pPr>
          </w:p>
        </w:tc>
        <w:tc>
          <w:tcPr>
            <w:tcW w:w="4876" w:type="dxa"/>
          </w:tcPr>
          <w:p w14:paraId="30D7A9A2" w14:textId="77777777" w:rsidR="003B40DD" w:rsidRPr="005B3ABD" w:rsidRDefault="003B40DD" w:rsidP="00882D36">
            <w:pPr>
              <w:pStyle w:val="Normal6"/>
              <w:rPr>
                <w:color w:val="000005"/>
                <w:szCs w:val="24"/>
              </w:rPr>
            </w:pPr>
            <w:r w:rsidRPr="005B3ABD">
              <w:rPr>
                <w:b/>
                <w:i/>
              </w:rPr>
              <w:t>(31 a)</w:t>
            </w:r>
            <w:r w:rsidRPr="005B3ABD">
              <w:rPr>
                <w:b/>
                <w:i/>
              </w:rPr>
              <w:tab/>
              <w:t>The title of Part I is replaced by the following:</w:t>
            </w:r>
          </w:p>
        </w:tc>
      </w:tr>
      <w:tr w:rsidR="003B40DD" w:rsidRPr="005B3ABD" w14:paraId="2FAAFD34" w14:textId="77777777" w:rsidTr="00882D36">
        <w:trPr>
          <w:jc w:val="center"/>
        </w:trPr>
        <w:tc>
          <w:tcPr>
            <w:tcW w:w="4876" w:type="dxa"/>
          </w:tcPr>
          <w:p w14:paraId="21715501" w14:textId="77777777" w:rsidR="003B40DD" w:rsidRPr="005B3ABD" w:rsidRDefault="003B40DD" w:rsidP="00882D36">
            <w:pPr>
              <w:pStyle w:val="Normal6"/>
              <w:rPr>
                <w:color w:val="0000FA"/>
              </w:rPr>
            </w:pPr>
            <w:r w:rsidRPr="005B3ABD">
              <w:t>Meat of bovine animals aged less than 12 months</w:t>
            </w:r>
          </w:p>
        </w:tc>
        <w:tc>
          <w:tcPr>
            <w:tcW w:w="4876" w:type="dxa"/>
          </w:tcPr>
          <w:p w14:paraId="13D6BA05" w14:textId="77777777" w:rsidR="003B40DD" w:rsidRPr="005B3ABD" w:rsidRDefault="003B40DD" w:rsidP="00882D36">
            <w:pPr>
              <w:pStyle w:val="Normal6"/>
              <w:rPr>
                <w:szCs w:val="24"/>
              </w:rPr>
            </w:pPr>
            <w:r w:rsidRPr="005B3ABD">
              <w:t xml:space="preserve">“Meat of bovine animals </w:t>
            </w:r>
            <w:r w:rsidRPr="005B3ABD">
              <w:rPr>
                <w:b/>
                <w:i/>
              </w:rPr>
              <w:t>and sheep</w:t>
            </w:r>
            <w:r w:rsidRPr="005B3ABD">
              <w:t xml:space="preserve"> aged less than 12 months”</w:t>
            </w:r>
          </w:p>
        </w:tc>
      </w:tr>
    </w:tbl>
    <w:p w14:paraId="4DC06DE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A446791" w14:textId="77777777" w:rsidR="003B40DD" w:rsidRPr="005B3ABD" w:rsidRDefault="003B40DD" w:rsidP="003B40DD">
      <w:pPr>
        <w:pStyle w:val="CrossRef"/>
      </w:pPr>
      <w:r w:rsidRPr="005B3ABD">
        <w:t>(https://eur-lex.europa.eu/legal-content/EN/TXT/?uri=CELEX:02013R1308-20180101)</w:t>
      </w:r>
    </w:p>
    <w:p w14:paraId="5D46182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519F213" w14:textId="77777777" w:rsidR="003B40DD" w:rsidRPr="005B3ABD" w:rsidRDefault="003B40DD" w:rsidP="003B40DD">
      <w:pPr>
        <w:pStyle w:val="Normal12Italic"/>
      </w:pPr>
      <w:r w:rsidRPr="005B3ABD">
        <w:t>The term ‘lamb’ is not harmonised at European level. A considerable proportion of animals aged over 12 months is however sold on the European market as ‘lamb’ even though it does not meet consumers’ expectations for instance in terms of tenderness. With factors like the reduced consumption of sheep meat, Brexit and negotiations on agreements with Australia and New Zealand, it seems necessary to avoid any abusive designation of lamb’s meat.</w:t>
      </w:r>
    </w:p>
    <w:p w14:paraId="2F68B58B" w14:textId="77777777" w:rsidR="003B40DD" w:rsidRPr="005B3ABD" w:rsidRDefault="003B40DD" w:rsidP="003B40DD">
      <w:r w:rsidRPr="005B3ABD">
        <w:rPr>
          <w:rStyle w:val="HideTWBExt"/>
          <w:noProof w:val="0"/>
          <w:color w:val="auto"/>
        </w:rPr>
        <w:lastRenderedPageBreak/>
        <w:t>&lt;/Amend&gt;</w:t>
      </w:r>
    </w:p>
    <w:p w14:paraId="07E9522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85</w:t>
      </w:r>
      <w:r w:rsidRPr="005B3ABD">
        <w:rPr>
          <w:rStyle w:val="HideTWBExt"/>
          <w:b w:val="0"/>
          <w:noProof w:val="0"/>
          <w:color w:val="auto"/>
        </w:rPr>
        <w:t>&lt;/NumAm&gt;</w:t>
      </w:r>
    </w:p>
    <w:p w14:paraId="1D02111E"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3578008"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b (new)</w:t>
      </w:r>
      <w:r w:rsidRPr="005B3ABD">
        <w:rPr>
          <w:rStyle w:val="HideTWBExt"/>
          <w:b w:val="0"/>
          <w:noProof w:val="0"/>
          <w:color w:val="auto"/>
        </w:rPr>
        <w:t>&lt;/Article&gt;</w:t>
      </w:r>
    </w:p>
    <w:p w14:paraId="7ED7A32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319C3670" w14:textId="77777777" w:rsidR="003B40DD" w:rsidRPr="005B3ABD" w:rsidRDefault="003B40DD" w:rsidP="003B40DD">
      <w:r w:rsidRPr="005B3ABD">
        <w:rPr>
          <w:rStyle w:val="HideTWBExt"/>
          <w:noProof w:val="0"/>
          <w:color w:val="auto"/>
        </w:rPr>
        <w:t>&lt;Article2&gt;</w:t>
      </w:r>
      <w:r w:rsidRPr="005B3ABD">
        <w:t>Annex VII – part I – point II – title</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CF986C3" w14:textId="77777777" w:rsidTr="00882D36">
        <w:trPr>
          <w:jc w:val="center"/>
        </w:trPr>
        <w:tc>
          <w:tcPr>
            <w:tcW w:w="9752" w:type="dxa"/>
            <w:gridSpan w:val="2"/>
          </w:tcPr>
          <w:p w14:paraId="50E143F9" w14:textId="77777777" w:rsidR="003B40DD" w:rsidRPr="005B3ABD" w:rsidRDefault="003B40DD" w:rsidP="00882D36">
            <w:pPr>
              <w:keepNext/>
            </w:pPr>
          </w:p>
        </w:tc>
      </w:tr>
      <w:tr w:rsidR="003B40DD" w:rsidRPr="005B3ABD" w14:paraId="7679E0C1" w14:textId="77777777" w:rsidTr="00882D36">
        <w:trPr>
          <w:jc w:val="center"/>
        </w:trPr>
        <w:tc>
          <w:tcPr>
            <w:tcW w:w="4876" w:type="dxa"/>
          </w:tcPr>
          <w:p w14:paraId="3BB3E8D7" w14:textId="77777777" w:rsidR="003B40DD" w:rsidRPr="005B3ABD" w:rsidRDefault="003B40DD" w:rsidP="00882D36">
            <w:pPr>
              <w:pStyle w:val="ColumnHeading"/>
              <w:keepNext/>
              <w:rPr>
                <w:color w:val="0000FA"/>
              </w:rPr>
            </w:pPr>
            <w:r w:rsidRPr="005B3ABD">
              <w:t>This text</w:t>
            </w:r>
          </w:p>
        </w:tc>
        <w:tc>
          <w:tcPr>
            <w:tcW w:w="4876" w:type="dxa"/>
          </w:tcPr>
          <w:p w14:paraId="7FF85FA3" w14:textId="77777777" w:rsidR="003B40DD" w:rsidRPr="005B3ABD" w:rsidRDefault="003B40DD" w:rsidP="00882D36">
            <w:pPr>
              <w:pStyle w:val="ColumnHeading"/>
              <w:keepNext/>
              <w:rPr>
                <w:color w:val="0000F5"/>
              </w:rPr>
            </w:pPr>
            <w:r w:rsidRPr="005B3ABD">
              <w:t>Amendment</w:t>
            </w:r>
          </w:p>
        </w:tc>
      </w:tr>
      <w:tr w:rsidR="003B40DD" w:rsidRPr="005B3ABD" w14:paraId="41D5BEF7" w14:textId="77777777" w:rsidTr="00882D36">
        <w:trPr>
          <w:jc w:val="center"/>
        </w:trPr>
        <w:tc>
          <w:tcPr>
            <w:tcW w:w="4876" w:type="dxa"/>
          </w:tcPr>
          <w:p w14:paraId="3CB045B9" w14:textId="77777777" w:rsidR="003B40DD" w:rsidRPr="005B3ABD" w:rsidRDefault="003B40DD" w:rsidP="00882D36">
            <w:pPr>
              <w:pStyle w:val="Normal6"/>
              <w:rPr>
                <w:color w:val="0000FA"/>
              </w:rPr>
            </w:pPr>
          </w:p>
        </w:tc>
        <w:tc>
          <w:tcPr>
            <w:tcW w:w="4876" w:type="dxa"/>
          </w:tcPr>
          <w:p w14:paraId="516F9C8D" w14:textId="77777777" w:rsidR="003B40DD" w:rsidRPr="005B3ABD" w:rsidRDefault="003B40DD" w:rsidP="00882D36">
            <w:pPr>
              <w:pStyle w:val="Normal6"/>
              <w:rPr>
                <w:color w:val="000005"/>
                <w:szCs w:val="24"/>
              </w:rPr>
            </w:pPr>
            <w:r w:rsidRPr="005B3ABD">
              <w:rPr>
                <w:b/>
                <w:i/>
              </w:rPr>
              <w:t>(31 b)</w:t>
            </w:r>
            <w:r w:rsidRPr="005B3ABD">
              <w:rPr>
                <w:b/>
                <w:i/>
              </w:rPr>
              <w:tab/>
              <w:t>In title I, the title of point 11 is replaced by the following:</w:t>
            </w:r>
          </w:p>
        </w:tc>
      </w:tr>
      <w:tr w:rsidR="003B40DD" w:rsidRPr="005B3ABD" w14:paraId="1825EF99" w14:textId="77777777" w:rsidTr="00882D36">
        <w:trPr>
          <w:jc w:val="center"/>
        </w:trPr>
        <w:tc>
          <w:tcPr>
            <w:tcW w:w="4876" w:type="dxa"/>
          </w:tcPr>
          <w:p w14:paraId="400BD93B" w14:textId="77777777" w:rsidR="003B40DD" w:rsidRPr="005B3ABD" w:rsidRDefault="003B40DD" w:rsidP="00882D36">
            <w:pPr>
              <w:pStyle w:val="Normal6"/>
              <w:rPr>
                <w:color w:val="0000FA"/>
              </w:rPr>
            </w:pPr>
            <w:r w:rsidRPr="005B3ABD">
              <w:t>II Classification of bovine animals aged less than 12 months at the slaughterhouse</w:t>
            </w:r>
          </w:p>
        </w:tc>
        <w:tc>
          <w:tcPr>
            <w:tcW w:w="4876" w:type="dxa"/>
          </w:tcPr>
          <w:p w14:paraId="21997B8F" w14:textId="77777777" w:rsidR="003B40DD" w:rsidRPr="005B3ABD" w:rsidRDefault="003B40DD" w:rsidP="00882D36">
            <w:pPr>
              <w:pStyle w:val="Normal6"/>
              <w:rPr>
                <w:szCs w:val="24"/>
              </w:rPr>
            </w:pPr>
            <w:r w:rsidRPr="005B3ABD">
              <w:t xml:space="preserve">“II Classification of bovine animals </w:t>
            </w:r>
            <w:r w:rsidRPr="005B3ABD">
              <w:rPr>
                <w:b/>
                <w:bCs/>
                <w:i/>
                <w:iCs/>
              </w:rPr>
              <w:t>and sheep</w:t>
            </w:r>
            <w:r w:rsidRPr="005B3ABD">
              <w:rPr>
                <w:b/>
                <w:bCs/>
              </w:rPr>
              <w:t xml:space="preserve"> </w:t>
            </w:r>
            <w:r w:rsidRPr="005B3ABD">
              <w:t>aged less than 12 months at the slaughterhouse”</w:t>
            </w:r>
          </w:p>
        </w:tc>
      </w:tr>
    </w:tbl>
    <w:p w14:paraId="02658179"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B24BDFA" w14:textId="77777777" w:rsidR="003B40DD" w:rsidRPr="005B3ABD" w:rsidRDefault="003B40DD" w:rsidP="003B40DD">
      <w:pPr>
        <w:pStyle w:val="CrossRef"/>
      </w:pPr>
      <w:r w:rsidRPr="005B3ABD">
        <w:t>(https://eur-lex.europa.eu/legal-content/EN/TXT/?uri=CELEX:02013R1308-20180101)</w:t>
      </w:r>
    </w:p>
    <w:p w14:paraId="1B98CA16"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F8D632E" w14:textId="77777777" w:rsidR="003B40DD" w:rsidRPr="005B3ABD" w:rsidRDefault="003B40DD" w:rsidP="003B40DD">
      <w:pPr>
        <w:pStyle w:val="Normal12Italic"/>
      </w:pPr>
      <w:r w:rsidRPr="005B3ABD">
        <w:t>The term ‘lamb’ is not harmonised at European level. A considerable proportion of animals aged over 12 months is however sold on the European market as ‘lamb’ even though it does not meet consumers’ expectations for instance in terms of tenderness. With factors like the reduced consumption of sheep meat, Brexit and negotiations on agreements with Australia and New Zealand, it seems necessary to avoid any abusive designation of lamb’s meat</w:t>
      </w:r>
    </w:p>
    <w:p w14:paraId="7E22CB50" w14:textId="77777777" w:rsidR="003B40DD" w:rsidRPr="005B3ABD" w:rsidRDefault="003B40DD" w:rsidP="003B40DD">
      <w:r w:rsidRPr="005B3ABD">
        <w:rPr>
          <w:rStyle w:val="HideTWBExt"/>
          <w:noProof w:val="0"/>
          <w:color w:val="auto"/>
        </w:rPr>
        <w:t>&lt;/Amend&gt;</w:t>
      </w:r>
    </w:p>
    <w:p w14:paraId="337FFB30"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86</w:t>
      </w:r>
      <w:r w:rsidRPr="005B3ABD">
        <w:rPr>
          <w:rStyle w:val="HideTWBExt"/>
          <w:b w:val="0"/>
          <w:noProof w:val="0"/>
          <w:color w:val="auto"/>
        </w:rPr>
        <w:t>&lt;/NumAm&gt;</w:t>
      </w:r>
    </w:p>
    <w:p w14:paraId="4FD4285E"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91D8660"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c (new)</w:t>
      </w:r>
      <w:r w:rsidRPr="005B3ABD">
        <w:rPr>
          <w:rStyle w:val="HideTWBExt"/>
          <w:b w:val="0"/>
          <w:noProof w:val="0"/>
          <w:color w:val="auto"/>
        </w:rPr>
        <w:t>&lt;/Article&gt;</w:t>
      </w:r>
    </w:p>
    <w:p w14:paraId="1CB8DDC1"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B1FF686" w14:textId="77777777" w:rsidR="003B40DD" w:rsidRPr="005B3ABD" w:rsidRDefault="003B40DD" w:rsidP="003B40DD">
      <w:r w:rsidRPr="005B3ABD">
        <w:rPr>
          <w:rStyle w:val="HideTWBExt"/>
          <w:noProof w:val="0"/>
          <w:color w:val="auto"/>
        </w:rPr>
        <w:t>&lt;Article2&gt;</w:t>
      </w:r>
      <w:r w:rsidRPr="005B3ABD">
        <w:t>Annex VII – part I – point II – paragraph 1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B6B9619" w14:textId="77777777" w:rsidTr="00882D36">
        <w:trPr>
          <w:jc w:val="center"/>
        </w:trPr>
        <w:tc>
          <w:tcPr>
            <w:tcW w:w="9752" w:type="dxa"/>
            <w:gridSpan w:val="2"/>
          </w:tcPr>
          <w:p w14:paraId="1441627A" w14:textId="77777777" w:rsidR="003B40DD" w:rsidRPr="005B3ABD" w:rsidRDefault="003B40DD" w:rsidP="00882D36">
            <w:pPr>
              <w:keepNext/>
            </w:pPr>
          </w:p>
        </w:tc>
      </w:tr>
      <w:tr w:rsidR="003B40DD" w:rsidRPr="005B3ABD" w14:paraId="50A3C965" w14:textId="77777777" w:rsidTr="00882D36">
        <w:trPr>
          <w:jc w:val="center"/>
        </w:trPr>
        <w:tc>
          <w:tcPr>
            <w:tcW w:w="4876" w:type="dxa"/>
          </w:tcPr>
          <w:p w14:paraId="596A0443" w14:textId="77777777" w:rsidR="003B40DD" w:rsidRPr="005B3ABD" w:rsidRDefault="003B40DD" w:rsidP="00882D36">
            <w:pPr>
              <w:pStyle w:val="ColumnHeading"/>
              <w:keepNext/>
              <w:rPr>
                <w:color w:val="0000FA"/>
              </w:rPr>
            </w:pPr>
            <w:r w:rsidRPr="005B3ABD">
              <w:t>Text proposed by the Commission</w:t>
            </w:r>
          </w:p>
        </w:tc>
        <w:tc>
          <w:tcPr>
            <w:tcW w:w="4876" w:type="dxa"/>
          </w:tcPr>
          <w:p w14:paraId="53326D9C" w14:textId="77777777" w:rsidR="003B40DD" w:rsidRPr="005B3ABD" w:rsidRDefault="003B40DD" w:rsidP="00882D36">
            <w:pPr>
              <w:pStyle w:val="ColumnHeading"/>
              <w:keepNext/>
              <w:rPr>
                <w:color w:val="0000F5"/>
              </w:rPr>
            </w:pPr>
            <w:r w:rsidRPr="005B3ABD">
              <w:t>Amendment</w:t>
            </w:r>
          </w:p>
        </w:tc>
      </w:tr>
      <w:tr w:rsidR="003B40DD" w:rsidRPr="005B3ABD" w14:paraId="225969CA" w14:textId="77777777" w:rsidTr="00882D36">
        <w:trPr>
          <w:jc w:val="center"/>
        </w:trPr>
        <w:tc>
          <w:tcPr>
            <w:tcW w:w="4876" w:type="dxa"/>
          </w:tcPr>
          <w:p w14:paraId="36720BB9" w14:textId="77777777" w:rsidR="003B40DD" w:rsidRPr="005B3ABD" w:rsidRDefault="003B40DD" w:rsidP="00882D36">
            <w:pPr>
              <w:pStyle w:val="Normal6"/>
              <w:rPr>
                <w:color w:val="0000FA"/>
              </w:rPr>
            </w:pPr>
          </w:p>
        </w:tc>
        <w:tc>
          <w:tcPr>
            <w:tcW w:w="4876" w:type="dxa"/>
          </w:tcPr>
          <w:p w14:paraId="50387E7D" w14:textId="77777777" w:rsidR="003B40DD" w:rsidRPr="005B3ABD" w:rsidRDefault="003B40DD" w:rsidP="00882D36">
            <w:pPr>
              <w:pStyle w:val="Normal6"/>
              <w:rPr>
                <w:color w:val="000005"/>
                <w:szCs w:val="24"/>
              </w:rPr>
            </w:pPr>
            <w:r w:rsidRPr="005B3ABD">
              <w:rPr>
                <w:b/>
                <w:i/>
              </w:rPr>
              <w:t>(31 c)</w:t>
            </w:r>
            <w:r w:rsidRPr="005B3ABD">
              <w:rPr>
                <w:b/>
                <w:i/>
              </w:rPr>
              <w:tab/>
              <w:t>In Annex VII, part I, point II, the following paragraph shall be added:</w:t>
            </w:r>
          </w:p>
        </w:tc>
      </w:tr>
      <w:tr w:rsidR="003B40DD" w:rsidRPr="005B3ABD" w14:paraId="06CACB31" w14:textId="77777777" w:rsidTr="00882D36">
        <w:trPr>
          <w:jc w:val="center"/>
        </w:trPr>
        <w:tc>
          <w:tcPr>
            <w:tcW w:w="4876" w:type="dxa"/>
          </w:tcPr>
          <w:p w14:paraId="5B3C1ED5" w14:textId="77777777" w:rsidR="003B40DD" w:rsidRPr="005B3ABD" w:rsidRDefault="003B40DD" w:rsidP="00882D36">
            <w:pPr>
              <w:pStyle w:val="Normal6"/>
              <w:rPr>
                <w:color w:val="0000FA"/>
              </w:rPr>
            </w:pPr>
          </w:p>
        </w:tc>
        <w:tc>
          <w:tcPr>
            <w:tcW w:w="4876" w:type="dxa"/>
          </w:tcPr>
          <w:p w14:paraId="2C77B0EA" w14:textId="77777777" w:rsidR="003B40DD" w:rsidRPr="005B3ABD" w:rsidRDefault="003B40DD" w:rsidP="00882D36">
            <w:pPr>
              <w:pStyle w:val="Normal6"/>
              <w:rPr>
                <w:color w:val="000005"/>
                <w:szCs w:val="24"/>
              </w:rPr>
            </w:pPr>
            <w:r w:rsidRPr="005B3ABD">
              <w:rPr>
                <w:b/>
                <w:i/>
              </w:rPr>
              <w:t>On slaughter, all sheep aged less than 12 months shall be classified by the operators, under the supervision of the competent authority, in the following category:</w:t>
            </w:r>
          </w:p>
        </w:tc>
      </w:tr>
      <w:tr w:rsidR="003B40DD" w:rsidRPr="005B3ABD" w14:paraId="4EAA8F76" w14:textId="77777777" w:rsidTr="00882D36">
        <w:trPr>
          <w:jc w:val="center"/>
        </w:trPr>
        <w:tc>
          <w:tcPr>
            <w:tcW w:w="4876" w:type="dxa"/>
          </w:tcPr>
          <w:p w14:paraId="2CE1C389" w14:textId="77777777" w:rsidR="003B40DD" w:rsidRPr="005B3ABD" w:rsidRDefault="003B40DD" w:rsidP="00882D36">
            <w:pPr>
              <w:pStyle w:val="Normal6"/>
              <w:rPr>
                <w:color w:val="0000FA"/>
              </w:rPr>
            </w:pPr>
          </w:p>
        </w:tc>
        <w:tc>
          <w:tcPr>
            <w:tcW w:w="4876" w:type="dxa"/>
          </w:tcPr>
          <w:p w14:paraId="6C17231A" w14:textId="77777777" w:rsidR="003B40DD" w:rsidRPr="005B3ABD" w:rsidRDefault="003B40DD" w:rsidP="00882D36">
            <w:pPr>
              <w:pStyle w:val="Normal6"/>
              <w:rPr>
                <w:color w:val="000005"/>
                <w:szCs w:val="24"/>
              </w:rPr>
            </w:pPr>
            <w:r w:rsidRPr="005B3ABD">
              <w:rPr>
                <w:b/>
                <w:i/>
              </w:rPr>
              <w:t xml:space="preserve">Category A: carcasses of sheep under 12 </w:t>
            </w:r>
            <w:r w:rsidRPr="005B3ABD">
              <w:rPr>
                <w:b/>
                <w:i/>
              </w:rPr>
              <w:lastRenderedPageBreak/>
              <w:t>months old</w:t>
            </w:r>
          </w:p>
        </w:tc>
      </w:tr>
      <w:tr w:rsidR="003B40DD" w:rsidRPr="005B3ABD" w14:paraId="3885410C" w14:textId="77777777" w:rsidTr="00882D36">
        <w:trPr>
          <w:jc w:val="center"/>
        </w:trPr>
        <w:tc>
          <w:tcPr>
            <w:tcW w:w="4876" w:type="dxa"/>
          </w:tcPr>
          <w:p w14:paraId="004E74D1" w14:textId="77777777" w:rsidR="003B40DD" w:rsidRPr="005B3ABD" w:rsidRDefault="003B40DD" w:rsidP="00882D36">
            <w:pPr>
              <w:pStyle w:val="Normal6"/>
              <w:rPr>
                <w:color w:val="0000FA"/>
              </w:rPr>
            </w:pPr>
          </w:p>
        </w:tc>
        <w:tc>
          <w:tcPr>
            <w:tcW w:w="4876" w:type="dxa"/>
          </w:tcPr>
          <w:p w14:paraId="5CE42C53" w14:textId="77777777" w:rsidR="003B40DD" w:rsidRPr="005B3ABD" w:rsidRDefault="003B40DD" w:rsidP="00882D36">
            <w:pPr>
              <w:pStyle w:val="Normal6"/>
              <w:rPr>
                <w:szCs w:val="24"/>
              </w:rPr>
            </w:pPr>
            <w:r w:rsidRPr="005B3ABD">
              <w:rPr>
                <w:b/>
                <w:i/>
              </w:rPr>
              <w:t>Category identification letter A.</w:t>
            </w:r>
          </w:p>
        </w:tc>
      </w:tr>
    </w:tbl>
    <w:p w14:paraId="6B1D49DD"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DA7A1B0"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2F2C744" w14:textId="77777777" w:rsidR="003B40DD" w:rsidRPr="005B3ABD" w:rsidRDefault="003B40DD" w:rsidP="003B40DD">
      <w:pPr>
        <w:pStyle w:val="Normal12Italic"/>
      </w:pPr>
      <w:r w:rsidRPr="005B3ABD">
        <w:t>The term ‘lamb’ is not harmonised at European level. A considerable proportion of animals aged over 12 months is however sold on the European market as ‘lamb’ even though it does not meet consumers’ expectations for instance in terms of tenderness. With factors like the reduced consumption of sheep meat, Brexit and negotiations on agreements with Australia and New Zealand, it seems necessary to avoid any abusive designation of lamb’s meat</w:t>
      </w:r>
    </w:p>
    <w:p w14:paraId="36D32584" w14:textId="77777777" w:rsidR="003B40DD" w:rsidRPr="005B3ABD" w:rsidRDefault="003B40DD" w:rsidP="003B40DD">
      <w:r w:rsidRPr="005B3ABD">
        <w:rPr>
          <w:rStyle w:val="HideTWBExt"/>
          <w:noProof w:val="0"/>
          <w:color w:val="auto"/>
        </w:rPr>
        <w:t>&lt;/Amend&gt;</w:t>
      </w:r>
    </w:p>
    <w:p w14:paraId="39F73C6D"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87</w:t>
      </w:r>
      <w:r w:rsidRPr="005B3ABD">
        <w:rPr>
          <w:rStyle w:val="HideTWBExt"/>
          <w:b w:val="0"/>
          <w:noProof w:val="0"/>
          <w:color w:val="auto"/>
        </w:rPr>
        <w:t>&lt;/NumAm&gt;</w:t>
      </w:r>
    </w:p>
    <w:p w14:paraId="5CD5E867"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541AA36"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d (new)</w:t>
      </w:r>
      <w:r w:rsidRPr="005B3ABD">
        <w:rPr>
          <w:rStyle w:val="HideTWBExt"/>
          <w:b w:val="0"/>
          <w:noProof w:val="0"/>
          <w:color w:val="auto"/>
        </w:rPr>
        <w:t>&lt;/Article&gt;</w:t>
      </w:r>
    </w:p>
    <w:p w14:paraId="132B9796"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A63114A" w14:textId="77777777" w:rsidR="003B40DD" w:rsidRPr="005B3ABD" w:rsidRDefault="003B40DD" w:rsidP="003B40DD">
      <w:r w:rsidRPr="005B3ABD">
        <w:rPr>
          <w:rStyle w:val="HideTWBExt"/>
          <w:noProof w:val="0"/>
          <w:color w:val="auto"/>
        </w:rPr>
        <w:t>&lt;Article2&gt;</w:t>
      </w:r>
      <w:r w:rsidRPr="005B3ABD">
        <w:t>Annex VII – part I – point II – paragraph 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4C59974" w14:textId="77777777" w:rsidTr="00882D36">
        <w:trPr>
          <w:jc w:val="center"/>
        </w:trPr>
        <w:tc>
          <w:tcPr>
            <w:tcW w:w="9752" w:type="dxa"/>
            <w:gridSpan w:val="2"/>
          </w:tcPr>
          <w:p w14:paraId="159AF56A" w14:textId="77777777" w:rsidR="003B40DD" w:rsidRPr="005B3ABD" w:rsidRDefault="003B40DD" w:rsidP="00882D36">
            <w:pPr>
              <w:keepNext/>
            </w:pPr>
          </w:p>
        </w:tc>
      </w:tr>
      <w:tr w:rsidR="003B40DD" w:rsidRPr="005B3ABD" w14:paraId="2A8B4516" w14:textId="77777777" w:rsidTr="00882D36">
        <w:trPr>
          <w:jc w:val="center"/>
        </w:trPr>
        <w:tc>
          <w:tcPr>
            <w:tcW w:w="4876" w:type="dxa"/>
          </w:tcPr>
          <w:p w14:paraId="5B9CEEF3" w14:textId="77777777" w:rsidR="003B40DD" w:rsidRPr="005B3ABD" w:rsidRDefault="003B40DD" w:rsidP="00882D36">
            <w:pPr>
              <w:pStyle w:val="ColumnHeading"/>
              <w:keepNext/>
              <w:rPr>
                <w:color w:val="0000FA"/>
              </w:rPr>
            </w:pPr>
            <w:r w:rsidRPr="005B3ABD">
              <w:t>This text</w:t>
            </w:r>
          </w:p>
        </w:tc>
        <w:tc>
          <w:tcPr>
            <w:tcW w:w="4876" w:type="dxa"/>
          </w:tcPr>
          <w:p w14:paraId="2E87CB34" w14:textId="77777777" w:rsidR="003B40DD" w:rsidRPr="005B3ABD" w:rsidRDefault="003B40DD" w:rsidP="00882D36">
            <w:pPr>
              <w:pStyle w:val="ColumnHeading"/>
              <w:keepNext/>
              <w:rPr>
                <w:color w:val="0000F5"/>
              </w:rPr>
            </w:pPr>
            <w:r w:rsidRPr="005B3ABD">
              <w:t>Amendment</w:t>
            </w:r>
          </w:p>
        </w:tc>
      </w:tr>
      <w:tr w:rsidR="003B40DD" w:rsidRPr="005B3ABD" w14:paraId="43052352" w14:textId="77777777" w:rsidTr="00882D36">
        <w:trPr>
          <w:jc w:val="center"/>
        </w:trPr>
        <w:tc>
          <w:tcPr>
            <w:tcW w:w="4876" w:type="dxa"/>
          </w:tcPr>
          <w:p w14:paraId="3BE62380" w14:textId="77777777" w:rsidR="003B40DD" w:rsidRPr="005B3ABD" w:rsidRDefault="003B40DD" w:rsidP="00882D36">
            <w:pPr>
              <w:pStyle w:val="Normal6"/>
              <w:rPr>
                <w:color w:val="0000FA"/>
              </w:rPr>
            </w:pPr>
          </w:p>
        </w:tc>
        <w:tc>
          <w:tcPr>
            <w:tcW w:w="4876" w:type="dxa"/>
          </w:tcPr>
          <w:p w14:paraId="06ECBC6C" w14:textId="77777777" w:rsidR="003B40DD" w:rsidRPr="005B3ABD" w:rsidRDefault="003B40DD" w:rsidP="00882D36">
            <w:pPr>
              <w:pStyle w:val="Normal6"/>
              <w:rPr>
                <w:color w:val="000005"/>
                <w:szCs w:val="24"/>
              </w:rPr>
            </w:pPr>
            <w:r w:rsidRPr="005B3ABD">
              <w:rPr>
                <w:b/>
                <w:i/>
              </w:rPr>
              <w:t>(31 d)</w:t>
            </w:r>
            <w:r w:rsidRPr="005B3ABD">
              <w:rPr>
                <w:b/>
                <w:i/>
              </w:rPr>
              <w:tab/>
              <w:t>In Annex VII, Part I, point II, the second subparagraph is replaced by the following:</w:t>
            </w:r>
          </w:p>
        </w:tc>
      </w:tr>
      <w:tr w:rsidR="003B40DD" w:rsidRPr="005B3ABD" w14:paraId="4477B656" w14:textId="77777777" w:rsidTr="00882D36">
        <w:trPr>
          <w:jc w:val="center"/>
        </w:trPr>
        <w:tc>
          <w:tcPr>
            <w:tcW w:w="4876" w:type="dxa"/>
          </w:tcPr>
          <w:p w14:paraId="3728E173" w14:textId="77777777" w:rsidR="003B40DD" w:rsidRPr="005B3ABD" w:rsidRDefault="003B40DD" w:rsidP="00882D36">
            <w:pPr>
              <w:pStyle w:val="Normal6"/>
              <w:rPr>
                <w:color w:val="0000FA"/>
              </w:rPr>
            </w:pPr>
            <w:r w:rsidRPr="005B3ABD">
              <w:t>This classification shall be carried out on the basis of the information contained in the passport accompanying the bovine animals or, failing this, on the basis of the data contained in the computerised database provided for in Article 5 of Regulation (EC) No 1760/2000 of the European Parliament and of the Council [1].</w:t>
            </w:r>
          </w:p>
        </w:tc>
        <w:tc>
          <w:tcPr>
            <w:tcW w:w="4876" w:type="dxa"/>
          </w:tcPr>
          <w:p w14:paraId="365DB864" w14:textId="77777777" w:rsidR="003B40DD" w:rsidRPr="005B3ABD" w:rsidRDefault="003B40DD" w:rsidP="00882D36">
            <w:pPr>
              <w:pStyle w:val="Normal6"/>
              <w:rPr>
                <w:szCs w:val="24"/>
              </w:rPr>
            </w:pPr>
            <w:r w:rsidRPr="005B3ABD">
              <w:t xml:space="preserve">“This classification must be carried out on the basis of the information contained in the passport accompanying the bovine animals </w:t>
            </w:r>
            <w:r w:rsidRPr="005B3ABD">
              <w:rPr>
                <w:b/>
                <w:bCs/>
                <w:i/>
                <w:iCs/>
              </w:rPr>
              <w:t>and sheep</w:t>
            </w:r>
            <w:r w:rsidRPr="005B3ABD">
              <w:rPr>
                <w:b/>
                <w:bCs/>
              </w:rPr>
              <w:t xml:space="preserve"> </w:t>
            </w:r>
            <w:r w:rsidRPr="005B3ABD">
              <w:t xml:space="preserve">or, failing this, on the basis of the data contained in the computerised database provided for in Article 5 of Regulation (EC) No 1760/2000.” </w:t>
            </w:r>
          </w:p>
        </w:tc>
      </w:tr>
    </w:tbl>
    <w:p w14:paraId="3F9ACB3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07221B8" w14:textId="77777777" w:rsidR="003B40DD" w:rsidRPr="005B3ABD" w:rsidRDefault="003B40DD" w:rsidP="003B40DD">
      <w:pPr>
        <w:pStyle w:val="CrossRef"/>
      </w:pPr>
      <w:r w:rsidRPr="005B3ABD">
        <w:t>(https://eur-lex.europa.eu/legal-content/EN/TXT/?uri=CELEX:02013R1308-20180101)</w:t>
      </w:r>
    </w:p>
    <w:p w14:paraId="2584608B" w14:textId="77777777" w:rsidR="003B40DD" w:rsidRPr="005B3ABD" w:rsidRDefault="003B40DD" w:rsidP="003B40DD">
      <w:r w:rsidRPr="005B3ABD">
        <w:rPr>
          <w:rStyle w:val="HideTWBExt"/>
          <w:noProof w:val="0"/>
          <w:color w:val="auto"/>
        </w:rPr>
        <w:t>&lt;/Amend&gt;</w:t>
      </w:r>
    </w:p>
    <w:p w14:paraId="37F8F43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88</w:t>
      </w:r>
      <w:r w:rsidRPr="005B3ABD">
        <w:rPr>
          <w:rStyle w:val="HideTWBExt"/>
          <w:b w:val="0"/>
          <w:noProof w:val="0"/>
          <w:color w:val="auto"/>
        </w:rPr>
        <w:t>&lt;/NumAm&gt;</w:t>
      </w:r>
    </w:p>
    <w:p w14:paraId="64BD60C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036B61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e (new)</w:t>
      </w:r>
      <w:r w:rsidRPr="005B3ABD">
        <w:rPr>
          <w:rStyle w:val="HideTWBExt"/>
          <w:b w:val="0"/>
          <w:noProof w:val="0"/>
          <w:color w:val="auto"/>
        </w:rPr>
        <w:t>&lt;/Article&gt;</w:t>
      </w:r>
    </w:p>
    <w:p w14:paraId="5DF47D99"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7835058" w14:textId="77777777" w:rsidR="003B40DD" w:rsidRPr="005B3ABD" w:rsidRDefault="003B40DD" w:rsidP="003B40DD">
      <w:r w:rsidRPr="005B3ABD">
        <w:rPr>
          <w:rStyle w:val="HideTWBExt"/>
          <w:noProof w:val="0"/>
          <w:color w:val="auto"/>
        </w:rPr>
        <w:t>&lt;Article2&gt;</w:t>
      </w:r>
      <w:r w:rsidRPr="005B3ABD">
        <w:t>Annex VII – part I – point III – paragraph 1 a (new)</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4558318" w14:textId="77777777" w:rsidTr="00882D36">
        <w:trPr>
          <w:jc w:val="center"/>
        </w:trPr>
        <w:tc>
          <w:tcPr>
            <w:tcW w:w="9752" w:type="dxa"/>
            <w:gridSpan w:val="2"/>
          </w:tcPr>
          <w:p w14:paraId="53ADF9D0" w14:textId="77777777" w:rsidR="003B40DD" w:rsidRPr="005B3ABD" w:rsidRDefault="003B40DD" w:rsidP="00882D36">
            <w:pPr>
              <w:keepNext/>
            </w:pPr>
          </w:p>
        </w:tc>
      </w:tr>
      <w:tr w:rsidR="003B40DD" w:rsidRPr="005B3ABD" w14:paraId="78F26F34" w14:textId="77777777" w:rsidTr="00882D36">
        <w:trPr>
          <w:jc w:val="center"/>
        </w:trPr>
        <w:tc>
          <w:tcPr>
            <w:tcW w:w="4876" w:type="dxa"/>
          </w:tcPr>
          <w:p w14:paraId="6F930416" w14:textId="77777777" w:rsidR="003B40DD" w:rsidRPr="005B3ABD" w:rsidRDefault="003B40DD" w:rsidP="00882D36">
            <w:pPr>
              <w:pStyle w:val="ColumnHeading"/>
              <w:keepNext/>
              <w:rPr>
                <w:color w:val="0000FA"/>
              </w:rPr>
            </w:pPr>
            <w:r w:rsidRPr="005B3ABD">
              <w:t>Text proposed by the Commission</w:t>
            </w:r>
          </w:p>
        </w:tc>
        <w:tc>
          <w:tcPr>
            <w:tcW w:w="4876" w:type="dxa"/>
          </w:tcPr>
          <w:p w14:paraId="7610AE0F" w14:textId="77777777" w:rsidR="003B40DD" w:rsidRPr="005B3ABD" w:rsidRDefault="003B40DD" w:rsidP="00882D36">
            <w:pPr>
              <w:pStyle w:val="ColumnHeading"/>
              <w:keepNext/>
              <w:rPr>
                <w:color w:val="0000F5"/>
              </w:rPr>
            </w:pPr>
            <w:r w:rsidRPr="005B3ABD">
              <w:t>Amendment</w:t>
            </w:r>
          </w:p>
        </w:tc>
      </w:tr>
      <w:tr w:rsidR="003B40DD" w:rsidRPr="005B3ABD" w14:paraId="3E1F5830" w14:textId="77777777" w:rsidTr="00882D36">
        <w:trPr>
          <w:jc w:val="center"/>
        </w:trPr>
        <w:tc>
          <w:tcPr>
            <w:tcW w:w="4876" w:type="dxa"/>
          </w:tcPr>
          <w:p w14:paraId="07A1248A" w14:textId="77777777" w:rsidR="003B40DD" w:rsidRPr="005B3ABD" w:rsidRDefault="003B40DD" w:rsidP="00882D36">
            <w:pPr>
              <w:pStyle w:val="Normal6"/>
              <w:rPr>
                <w:color w:val="0000FA"/>
              </w:rPr>
            </w:pPr>
          </w:p>
        </w:tc>
        <w:tc>
          <w:tcPr>
            <w:tcW w:w="4876" w:type="dxa"/>
          </w:tcPr>
          <w:p w14:paraId="4C038558" w14:textId="77777777" w:rsidR="003B40DD" w:rsidRPr="005B3ABD" w:rsidRDefault="003B40DD" w:rsidP="00882D36">
            <w:pPr>
              <w:pStyle w:val="Normal6"/>
              <w:rPr>
                <w:color w:val="000005"/>
                <w:szCs w:val="24"/>
              </w:rPr>
            </w:pPr>
            <w:r w:rsidRPr="005B3ABD">
              <w:rPr>
                <w:b/>
                <w:i/>
              </w:rPr>
              <w:t>(31 e)</w:t>
            </w:r>
            <w:r w:rsidRPr="005B3ABD">
              <w:rPr>
                <w:b/>
                <w:i/>
              </w:rPr>
              <w:tab/>
              <w:t>In Annex VII, part I, point III, the following paragraph shall be added:</w:t>
            </w:r>
          </w:p>
        </w:tc>
      </w:tr>
      <w:tr w:rsidR="003B40DD" w:rsidRPr="005B3ABD" w14:paraId="24E9C28C" w14:textId="77777777" w:rsidTr="00882D36">
        <w:trPr>
          <w:jc w:val="center"/>
        </w:trPr>
        <w:tc>
          <w:tcPr>
            <w:tcW w:w="4876" w:type="dxa"/>
          </w:tcPr>
          <w:p w14:paraId="5386ED66" w14:textId="77777777" w:rsidR="003B40DD" w:rsidRPr="005B3ABD" w:rsidRDefault="003B40DD" w:rsidP="00882D36">
            <w:pPr>
              <w:pStyle w:val="Normal6"/>
              <w:rPr>
                <w:color w:val="0000FA"/>
              </w:rPr>
            </w:pPr>
          </w:p>
        </w:tc>
        <w:tc>
          <w:tcPr>
            <w:tcW w:w="4876" w:type="dxa"/>
          </w:tcPr>
          <w:p w14:paraId="7A4E323A" w14:textId="77777777" w:rsidR="003B40DD" w:rsidRPr="005B3ABD" w:rsidRDefault="003B40DD" w:rsidP="00882D36">
            <w:pPr>
              <w:pStyle w:val="Normal6"/>
              <w:rPr>
                <w:color w:val="000005"/>
                <w:szCs w:val="24"/>
              </w:rPr>
            </w:pPr>
            <w:r w:rsidRPr="005B3ABD">
              <w:rPr>
                <w:b/>
                <w:i/>
              </w:rPr>
              <w:t>1 a. The meat of sheep aged less than 12 months shall only be marketed in the Member States under the following sales description(s) laid down for each Member State:</w:t>
            </w:r>
          </w:p>
        </w:tc>
      </w:tr>
      <w:tr w:rsidR="003B40DD" w:rsidRPr="005B3ABD" w14:paraId="72A63AF1" w14:textId="77777777" w:rsidTr="00882D36">
        <w:trPr>
          <w:jc w:val="center"/>
        </w:trPr>
        <w:tc>
          <w:tcPr>
            <w:tcW w:w="4876" w:type="dxa"/>
          </w:tcPr>
          <w:p w14:paraId="36D948DB" w14:textId="77777777" w:rsidR="003B40DD" w:rsidRPr="005B3ABD" w:rsidRDefault="003B40DD" w:rsidP="00882D36">
            <w:pPr>
              <w:pStyle w:val="Normal6"/>
              <w:rPr>
                <w:color w:val="0000FA"/>
              </w:rPr>
            </w:pPr>
          </w:p>
        </w:tc>
        <w:tc>
          <w:tcPr>
            <w:tcW w:w="4876" w:type="dxa"/>
          </w:tcPr>
          <w:p w14:paraId="48CCC4C9" w14:textId="77777777" w:rsidR="003B40DD" w:rsidRPr="005B3ABD" w:rsidRDefault="003B40DD" w:rsidP="00882D36">
            <w:pPr>
              <w:pStyle w:val="Normal6"/>
              <w:rPr>
                <w:color w:val="000005"/>
                <w:szCs w:val="24"/>
              </w:rPr>
            </w:pPr>
            <w:r w:rsidRPr="005B3ABD">
              <w:rPr>
                <w:b/>
                <w:i/>
              </w:rPr>
              <w:t>Country of marketing</w:t>
            </w:r>
          </w:p>
        </w:tc>
      </w:tr>
      <w:tr w:rsidR="003B40DD" w:rsidRPr="005B3ABD" w14:paraId="1BDCA1D6" w14:textId="77777777" w:rsidTr="00882D36">
        <w:trPr>
          <w:jc w:val="center"/>
        </w:trPr>
        <w:tc>
          <w:tcPr>
            <w:tcW w:w="4876" w:type="dxa"/>
          </w:tcPr>
          <w:p w14:paraId="6E302D47" w14:textId="77777777" w:rsidR="003B40DD" w:rsidRPr="005B3ABD" w:rsidRDefault="003B40DD" w:rsidP="00882D36">
            <w:pPr>
              <w:pStyle w:val="Normal6"/>
              <w:rPr>
                <w:color w:val="0000FA"/>
              </w:rPr>
            </w:pPr>
          </w:p>
        </w:tc>
        <w:tc>
          <w:tcPr>
            <w:tcW w:w="4876" w:type="dxa"/>
          </w:tcPr>
          <w:p w14:paraId="4945F534" w14:textId="77777777" w:rsidR="003B40DD" w:rsidRPr="005B3ABD" w:rsidRDefault="003B40DD" w:rsidP="00882D36">
            <w:pPr>
              <w:pStyle w:val="Normal6"/>
              <w:rPr>
                <w:szCs w:val="24"/>
              </w:rPr>
            </w:pPr>
            <w:r w:rsidRPr="005B3ABD">
              <w:rPr>
                <w:b/>
                <w:i/>
              </w:rPr>
              <w:t>Sales descriptions to be used lamb</w:t>
            </w:r>
          </w:p>
        </w:tc>
      </w:tr>
    </w:tbl>
    <w:p w14:paraId="7A394F54"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3A53963"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49745C8" w14:textId="77777777" w:rsidR="003B40DD" w:rsidRPr="005B3ABD" w:rsidRDefault="003B40DD" w:rsidP="003B40DD">
      <w:pPr>
        <w:pStyle w:val="Normal12Italic"/>
      </w:pPr>
      <w:r w:rsidRPr="005B3ABD">
        <w:t>The term ‘lamb’ is not harmonised at European level. A considerable proportion of animals aged over 12 months is however sold on the European market as ‘lamb’ even though it does not meet consumers’ expectations for instance in terms of tenderness. With factors like the reduced consumption of sheep meat, Brexit and negotiations on agreements with Australia and New Zealand, it seems necessary to avoid any abusive designation of lamb’s meat.</w:t>
      </w:r>
    </w:p>
    <w:p w14:paraId="6A5CFA0C" w14:textId="77777777" w:rsidR="003B40DD" w:rsidRPr="005B3ABD" w:rsidRDefault="003B40DD" w:rsidP="003B40DD">
      <w:r w:rsidRPr="005B3ABD">
        <w:rPr>
          <w:rStyle w:val="HideTWBExt"/>
          <w:noProof w:val="0"/>
          <w:color w:val="auto"/>
        </w:rPr>
        <w:t>&lt;/Amend&gt;</w:t>
      </w:r>
    </w:p>
    <w:p w14:paraId="62D3C2F7"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89</w:t>
      </w:r>
      <w:r w:rsidRPr="005B3ABD">
        <w:rPr>
          <w:rStyle w:val="HideTWBExt"/>
          <w:b w:val="0"/>
          <w:noProof w:val="0"/>
          <w:color w:val="auto"/>
        </w:rPr>
        <w:t>&lt;/NumAm&gt;</w:t>
      </w:r>
    </w:p>
    <w:p w14:paraId="70EB5EE9"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0A5010A"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f (new)</w:t>
      </w:r>
      <w:r w:rsidRPr="005B3ABD">
        <w:rPr>
          <w:rStyle w:val="HideTWBExt"/>
          <w:b w:val="0"/>
          <w:noProof w:val="0"/>
          <w:color w:val="auto"/>
        </w:rPr>
        <w:t>&lt;/Article&gt;</w:t>
      </w:r>
    </w:p>
    <w:p w14:paraId="2525A1CB"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FBCB553" w14:textId="5736CC6C" w:rsidR="003B40DD" w:rsidRPr="005B3ABD" w:rsidRDefault="003B40DD" w:rsidP="003B40DD">
      <w:r w:rsidRPr="005B3ABD">
        <w:rPr>
          <w:rStyle w:val="HideTWBExt"/>
          <w:noProof w:val="0"/>
          <w:color w:val="auto"/>
        </w:rPr>
        <w:t>&lt;Article2&gt;</w:t>
      </w:r>
      <w:r w:rsidRPr="005B3ABD">
        <w:t>Annex</w:t>
      </w:r>
      <w:r w:rsidR="009D2C84" w:rsidRPr="005B3ABD">
        <w:t xml:space="preserve"> </w:t>
      </w:r>
      <w:r w:rsidRPr="005B3ABD">
        <w:t>VII – part I – point III – paragraph 3 – subparagraph 1</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9ECDC01" w14:textId="77777777" w:rsidTr="00882D36">
        <w:trPr>
          <w:jc w:val="center"/>
        </w:trPr>
        <w:tc>
          <w:tcPr>
            <w:tcW w:w="9752" w:type="dxa"/>
            <w:gridSpan w:val="2"/>
          </w:tcPr>
          <w:p w14:paraId="7584FD0D" w14:textId="77777777" w:rsidR="003B40DD" w:rsidRPr="005B3ABD" w:rsidRDefault="003B40DD" w:rsidP="00882D36">
            <w:pPr>
              <w:keepNext/>
            </w:pPr>
          </w:p>
        </w:tc>
      </w:tr>
      <w:tr w:rsidR="003B40DD" w:rsidRPr="005B3ABD" w14:paraId="7741FF6E" w14:textId="77777777" w:rsidTr="00882D36">
        <w:trPr>
          <w:jc w:val="center"/>
        </w:trPr>
        <w:tc>
          <w:tcPr>
            <w:tcW w:w="4876" w:type="dxa"/>
          </w:tcPr>
          <w:p w14:paraId="5EC0C4A3" w14:textId="77777777" w:rsidR="003B40DD" w:rsidRPr="005B3ABD" w:rsidRDefault="003B40DD" w:rsidP="00882D36">
            <w:pPr>
              <w:pStyle w:val="ColumnHeading"/>
              <w:keepNext/>
              <w:rPr>
                <w:color w:val="0000FA"/>
              </w:rPr>
            </w:pPr>
            <w:r w:rsidRPr="005B3ABD">
              <w:t>This text</w:t>
            </w:r>
          </w:p>
        </w:tc>
        <w:tc>
          <w:tcPr>
            <w:tcW w:w="4876" w:type="dxa"/>
          </w:tcPr>
          <w:p w14:paraId="24449CD9" w14:textId="77777777" w:rsidR="003B40DD" w:rsidRPr="005B3ABD" w:rsidRDefault="003B40DD" w:rsidP="00882D36">
            <w:pPr>
              <w:pStyle w:val="ColumnHeading"/>
              <w:keepNext/>
              <w:rPr>
                <w:color w:val="0000F5"/>
              </w:rPr>
            </w:pPr>
            <w:r w:rsidRPr="005B3ABD">
              <w:t>Amendment</w:t>
            </w:r>
          </w:p>
        </w:tc>
      </w:tr>
      <w:tr w:rsidR="003B40DD" w:rsidRPr="005B3ABD" w14:paraId="2FDAD28C" w14:textId="77777777" w:rsidTr="00882D36">
        <w:trPr>
          <w:jc w:val="center"/>
        </w:trPr>
        <w:tc>
          <w:tcPr>
            <w:tcW w:w="4876" w:type="dxa"/>
          </w:tcPr>
          <w:p w14:paraId="39F10D8E" w14:textId="77777777" w:rsidR="003B40DD" w:rsidRPr="005B3ABD" w:rsidRDefault="003B40DD" w:rsidP="00882D36">
            <w:pPr>
              <w:pStyle w:val="Normal6"/>
              <w:rPr>
                <w:color w:val="0000FA"/>
              </w:rPr>
            </w:pPr>
          </w:p>
        </w:tc>
        <w:tc>
          <w:tcPr>
            <w:tcW w:w="4876" w:type="dxa"/>
          </w:tcPr>
          <w:p w14:paraId="6FA1DE52" w14:textId="77777777" w:rsidR="003B40DD" w:rsidRPr="005B3ABD" w:rsidRDefault="003B40DD" w:rsidP="00882D36">
            <w:pPr>
              <w:pStyle w:val="Normal6"/>
              <w:rPr>
                <w:color w:val="000005"/>
                <w:szCs w:val="24"/>
              </w:rPr>
            </w:pPr>
            <w:r w:rsidRPr="005B3ABD">
              <w:rPr>
                <w:b/>
                <w:i/>
              </w:rPr>
              <w:t>(31 f)</w:t>
            </w:r>
            <w:r w:rsidRPr="005B3ABD">
              <w:rPr>
                <w:b/>
                <w:i/>
              </w:rPr>
              <w:tab/>
              <w:t>In Annex VII, Part I, point II, paragraph 3, the first subparagraph is replaced by the following:</w:t>
            </w:r>
          </w:p>
        </w:tc>
      </w:tr>
      <w:tr w:rsidR="003B40DD" w:rsidRPr="005B3ABD" w14:paraId="53B20FCE" w14:textId="77777777" w:rsidTr="00882D36">
        <w:trPr>
          <w:jc w:val="center"/>
        </w:trPr>
        <w:tc>
          <w:tcPr>
            <w:tcW w:w="4876" w:type="dxa"/>
          </w:tcPr>
          <w:p w14:paraId="78CC07EB" w14:textId="77777777" w:rsidR="003B40DD" w:rsidRPr="005B3ABD" w:rsidRDefault="003B40DD" w:rsidP="00882D36">
            <w:pPr>
              <w:pStyle w:val="Normal6"/>
              <w:rPr>
                <w:color w:val="0000FA"/>
              </w:rPr>
            </w:pPr>
            <w:r w:rsidRPr="005B3ABD">
              <w:t xml:space="preserve">The sales descriptions listed for category </w:t>
            </w:r>
            <w:r w:rsidRPr="005B3ABD">
              <w:rPr>
                <w:b/>
                <w:bCs/>
                <w:i/>
                <w:iCs/>
              </w:rPr>
              <w:t>V</w:t>
            </w:r>
            <w:r w:rsidRPr="005B3ABD">
              <w:t xml:space="preserve"> in point A of the table set out in paragraph 1 and any new name derived from those sales descriptions shall only be used if the requirements of this Annex are fulfilled</w:t>
            </w:r>
          </w:p>
        </w:tc>
        <w:tc>
          <w:tcPr>
            <w:tcW w:w="4876" w:type="dxa"/>
          </w:tcPr>
          <w:p w14:paraId="4658B204" w14:textId="77777777" w:rsidR="003B40DD" w:rsidRPr="005B3ABD" w:rsidRDefault="003B40DD" w:rsidP="00882D36">
            <w:pPr>
              <w:pStyle w:val="Normal6"/>
              <w:rPr>
                <w:szCs w:val="24"/>
              </w:rPr>
            </w:pPr>
            <w:r w:rsidRPr="005B3ABD">
              <w:t xml:space="preserve">“The sales descriptions listed for category </w:t>
            </w:r>
            <w:r w:rsidRPr="005B3ABD">
              <w:rPr>
                <w:b/>
                <w:bCs/>
                <w:i/>
                <w:iCs/>
              </w:rPr>
              <w:t>V bovine and category A sheep</w:t>
            </w:r>
            <w:r w:rsidRPr="005B3ABD">
              <w:t xml:space="preserve"> in point A of the table set out in paragraph 1 and any new name derived from those sales descriptions shall only be used if the requirements of this Annex are fulfilled”</w:t>
            </w:r>
          </w:p>
        </w:tc>
      </w:tr>
    </w:tbl>
    <w:p w14:paraId="71152F3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4C07771" w14:textId="77777777" w:rsidR="003B40DD" w:rsidRPr="005B3ABD" w:rsidRDefault="003B40DD" w:rsidP="003B40DD">
      <w:pPr>
        <w:pStyle w:val="CrossRef"/>
      </w:pPr>
      <w:r w:rsidRPr="005B3ABD">
        <w:t>(https://eur-lex.europa.eu/legal-content/EN/TXT/?uri=CELEX:02013R1308-20180101)</w:t>
      </w:r>
    </w:p>
    <w:p w14:paraId="76B301A4"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4C52D761" w14:textId="77777777" w:rsidR="003B40DD" w:rsidRPr="005B3ABD" w:rsidRDefault="003B40DD" w:rsidP="003B40DD">
      <w:pPr>
        <w:pStyle w:val="Normal12Italic"/>
      </w:pPr>
      <w:r w:rsidRPr="005B3ABD">
        <w:t>The term ‘lamb’ is not harmonised at European level. A considerable proportion of animals aged over 12 months is however sold on the European market as ‘lamb’ even though it does not meet consumers’ expectations for instance in terms of tenderness. With factors like the reduced consumption of sheep meat, Brexit and negotiations on agreements with Australia and New Zealand, it seems necessary to avoid any abusive designation of lamb’s meat.</w:t>
      </w:r>
    </w:p>
    <w:p w14:paraId="211D862C" w14:textId="77777777" w:rsidR="003B40DD" w:rsidRPr="005B3ABD" w:rsidRDefault="003B40DD" w:rsidP="003B40DD">
      <w:r w:rsidRPr="005B3ABD">
        <w:rPr>
          <w:rStyle w:val="HideTWBExt"/>
          <w:noProof w:val="0"/>
          <w:color w:val="auto"/>
        </w:rPr>
        <w:t>&lt;/Amend&gt;</w:t>
      </w:r>
    </w:p>
    <w:p w14:paraId="4C1C012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90</w:t>
      </w:r>
      <w:r w:rsidRPr="005B3ABD">
        <w:rPr>
          <w:rStyle w:val="HideTWBExt"/>
          <w:b w:val="0"/>
          <w:noProof w:val="0"/>
          <w:color w:val="auto"/>
        </w:rPr>
        <w:t>&lt;/NumAm&gt;</w:t>
      </w:r>
    </w:p>
    <w:p w14:paraId="6964D4B6"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C41360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31 g (new)</w:t>
      </w:r>
      <w:r w:rsidRPr="005B3ABD">
        <w:rPr>
          <w:rStyle w:val="HideTWBExt"/>
          <w:b w:val="0"/>
          <w:noProof w:val="0"/>
          <w:color w:val="auto"/>
        </w:rPr>
        <w:t>&lt;/Article&gt;</w:t>
      </w:r>
    </w:p>
    <w:p w14:paraId="4CC2008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499A58E3" w14:textId="77777777" w:rsidR="003B40DD" w:rsidRPr="005B3ABD" w:rsidRDefault="003B40DD" w:rsidP="003B40DD">
      <w:r w:rsidRPr="005B3ABD">
        <w:rPr>
          <w:rStyle w:val="HideTWBExt"/>
          <w:noProof w:val="0"/>
          <w:color w:val="auto"/>
        </w:rPr>
        <w:t>&lt;Article2&gt;</w:t>
      </w:r>
      <w:r w:rsidRPr="005B3ABD">
        <w:t>Annex VII – part I – point III – paragraph 3 – subparagraph 2</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584FCA5" w14:textId="77777777" w:rsidTr="00882D36">
        <w:trPr>
          <w:jc w:val="center"/>
        </w:trPr>
        <w:tc>
          <w:tcPr>
            <w:tcW w:w="9752" w:type="dxa"/>
            <w:gridSpan w:val="2"/>
          </w:tcPr>
          <w:p w14:paraId="4150D841" w14:textId="77777777" w:rsidR="003B40DD" w:rsidRPr="005B3ABD" w:rsidRDefault="003B40DD" w:rsidP="00882D36">
            <w:pPr>
              <w:keepNext/>
            </w:pPr>
          </w:p>
        </w:tc>
      </w:tr>
      <w:tr w:rsidR="003B40DD" w:rsidRPr="005B3ABD" w14:paraId="66A285F8" w14:textId="77777777" w:rsidTr="00882D36">
        <w:trPr>
          <w:jc w:val="center"/>
        </w:trPr>
        <w:tc>
          <w:tcPr>
            <w:tcW w:w="4876" w:type="dxa"/>
          </w:tcPr>
          <w:p w14:paraId="69DD2745" w14:textId="77777777" w:rsidR="003B40DD" w:rsidRPr="005B3ABD" w:rsidRDefault="003B40DD" w:rsidP="00882D36">
            <w:pPr>
              <w:pStyle w:val="ColumnHeading"/>
              <w:keepNext/>
              <w:rPr>
                <w:color w:val="0000FA"/>
              </w:rPr>
            </w:pPr>
            <w:r w:rsidRPr="005B3ABD">
              <w:t>This text</w:t>
            </w:r>
          </w:p>
        </w:tc>
        <w:tc>
          <w:tcPr>
            <w:tcW w:w="4876" w:type="dxa"/>
          </w:tcPr>
          <w:p w14:paraId="64388065" w14:textId="77777777" w:rsidR="003B40DD" w:rsidRPr="005B3ABD" w:rsidRDefault="003B40DD" w:rsidP="00882D36">
            <w:pPr>
              <w:pStyle w:val="ColumnHeading"/>
              <w:keepNext/>
              <w:rPr>
                <w:color w:val="0000F5"/>
              </w:rPr>
            </w:pPr>
            <w:r w:rsidRPr="005B3ABD">
              <w:t>Amendment</w:t>
            </w:r>
          </w:p>
        </w:tc>
      </w:tr>
      <w:tr w:rsidR="003B40DD" w:rsidRPr="005B3ABD" w14:paraId="6C4B63CD" w14:textId="77777777" w:rsidTr="00882D36">
        <w:trPr>
          <w:jc w:val="center"/>
        </w:trPr>
        <w:tc>
          <w:tcPr>
            <w:tcW w:w="4876" w:type="dxa"/>
          </w:tcPr>
          <w:p w14:paraId="03FA6EC9" w14:textId="77777777" w:rsidR="003B40DD" w:rsidRPr="005B3ABD" w:rsidRDefault="003B40DD" w:rsidP="00882D36">
            <w:pPr>
              <w:pStyle w:val="Normal6"/>
              <w:rPr>
                <w:color w:val="0000FA"/>
              </w:rPr>
            </w:pPr>
          </w:p>
        </w:tc>
        <w:tc>
          <w:tcPr>
            <w:tcW w:w="4876" w:type="dxa"/>
          </w:tcPr>
          <w:p w14:paraId="3978D9E1" w14:textId="77777777" w:rsidR="003B40DD" w:rsidRPr="005B3ABD" w:rsidRDefault="003B40DD" w:rsidP="00882D36">
            <w:pPr>
              <w:pStyle w:val="Normal6"/>
              <w:rPr>
                <w:color w:val="000005"/>
                <w:szCs w:val="24"/>
              </w:rPr>
            </w:pPr>
            <w:r w:rsidRPr="005B3ABD">
              <w:rPr>
                <w:b/>
                <w:i/>
              </w:rPr>
              <w:t>(31 g)</w:t>
            </w:r>
            <w:r w:rsidRPr="005B3ABD">
              <w:rPr>
                <w:b/>
                <w:i/>
              </w:rPr>
              <w:tab/>
              <w:t>In Annex VII, Part I, point III, paragraph 3, the second subparagraph is replaced by the following:</w:t>
            </w:r>
          </w:p>
        </w:tc>
      </w:tr>
      <w:tr w:rsidR="003B40DD" w:rsidRPr="005B3ABD" w14:paraId="5DC124DC" w14:textId="77777777" w:rsidTr="00882D36">
        <w:trPr>
          <w:jc w:val="center"/>
        </w:trPr>
        <w:tc>
          <w:tcPr>
            <w:tcW w:w="4876" w:type="dxa"/>
          </w:tcPr>
          <w:p w14:paraId="2340B239" w14:textId="77777777" w:rsidR="003B40DD" w:rsidRPr="005B3ABD" w:rsidRDefault="003B40DD" w:rsidP="00882D36">
            <w:pPr>
              <w:pStyle w:val="Normal6"/>
              <w:rPr>
                <w:color w:val="0000FA"/>
              </w:rPr>
            </w:pPr>
            <w:r w:rsidRPr="005B3ABD">
              <w:t>In particular, the terms "veau", "telecí", "Kalb", "μοσχάρι", "ternera", "kalv", "veal", "vitello", "vitella", "kalf", "vitela" and "teletina" shall not be used in a sales description or be indicated on the labelling of the meat of bovine animals aged more than 12 months.</w:t>
            </w:r>
          </w:p>
        </w:tc>
        <w:tc>
          <w:tcPr>
            <w:tcW w:w="4876" w:type="dxa"/>
          </w:tcPr>
          <w:p w14:paraId="04020D34" w14:textId="77777777" w:rsidR="003B40DD" w:rsidRPr="005B3ABD" w:rsidRDefault="003B40DD" w:rsidP="00882D36">
            <w:pPr>
              <w:pStyle w:val="Normal6"/>
              <w:rPr>
                <w:szCs w:val="24"/>
              </w:rPr>
            </w:pPr>
            <w:r w:rsidRPr="005B3ABD">
              <w:t xml:space="preserve">“In particular, the terms "veau", "telecí", "Kalb", "μοσχάρι", "ternera", "kalv", "veal", "vitello", "vitella", "kalf", "vitela" and "teletina" shall not be used in a sales description or be indicated on the labelling of the meat of bovine animals aged more than 12 months. </w:t>
            </w:r>
            <w:r w:rsidRPr="005B3ABD">
              <w:rPr>
                <w:b/>
                <w:i/>
              </w:rPr>
              <w:t>“Likewise, the term ‘lamb’ may not be used in a sales description or be indicated on the labelling of the meat of sheep aged more than 12 months.”</w:t>
            </w:r>
            <w:r w:rsidRPr="005B3ABD">
              <w:t xml:space="preserve"> </w:t>
            </w:r>
          </w:p>
        </w:tc>
      </w:tr>
    </w:tbl>
    <w:p w14:paraId="55AFE2C3"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79B40AF" w14:textId="77777777" w:rsidR="003B40DD" w:rsidRPr="005B3ABD" w:rsidRDefault="003B40DD" w:rsidP="003B40DD">
      <w:pPr>
        <w:pStyle w:val="CrossRef"/>
      </w:pPr>
      <w:r w:rsidRPr="005B3ABD">
        <w:t>(https://eur-lex.europa.eu/legal-content/EN/TXT/?uri=CELEX:02013R1308-20180101)</w:t>
      </w:r>
    </w:p>
    <w:p w14:paraId="7A0D5E59"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DE9884C" w14:textId="77777777" w:rsidR="003B40DD" w:rsidRPr="005B3ABD" w:rsidRDefault="003B40DD" w:rsidP="003B40DD">
      <w:pPr>
        <w:pStyle w:val="Normal12Italic"/>
      </w:pPr>
      <w:r w:rsidRPr="005B3ABD">
        <w:t>The term ‘lamb’ is not harmonised at European level. A considerable proportion of animals aged over 12 months is however sold on the European market as ‘lamb’ even though it does not meet consumers’ expectations for instance in terms of tenderness. With factors like the reduced consumption of sheep meat, Brexit and negotiations on agreements with Australia and New Zealand, it seems necessary to avoid any abusive designation of lamb’s meat</w:t>
      </w:r>
    </w:p>
    <w:p w14:paraId="331EB123" w14:textId="77777777" w:rsidR="003B40DD" w:rsidRPr="005B3ABD" w:rsidRDefault="003B40DD" w:rsidP="003B40DD">
      <w:r w:rsidRPr="005B3ABD">
        <w:rPr>
          <w:rStyle w:val="HideTWBExt"/>
          <w:noProof w:val="0"/>
          <w:color w:val="auto"/>
        </w:rPr>
        <w:t>&lt;/Amend&gt;</w:t>
      </w:r>
    </w:p>
    <w:p w14:paraId="6122CD1D"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91</w:t>
      </w:r>
      <w:r w:rsidRPr="005B3ABD">
        <w:rPr>
          <w:rStyle w:val="HideTWBExt"/>
          <w:b w:val="0"/>
          <w:noProof w:val="0"/>
          <w:color w:val="auto"/>
        </w:rPr>
        <w:t>&lt;/NumAm&gt;</w:t>
      </w:r>
    </w:p>
    <w:p w14:paraId="0F23B55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7F0A258"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32</w:t>
      </w:r>
      <w:r w:rsidRPr="005B3ABD">
        <w:rPr>
          <w:rStyle w:val="HideTWBExt"/>
          <w:b w:val="0"/>
          <w:noProof w:val="0"/>
          <w:color w:val="auto"/>
        </w:rPr>
        <w:t>&lt;/Article&gt;</w:t>
      </w:r>
    </w:p>
    <w:p w14:paraId="1590FEB6"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6883F71" w14:textId="77777777" w:rsidR="003B40DD" w:rsidRPr="005B3ABD" w:rsidRDefault="003B40DD" w:rsidP="003B40DD">
      <w:r w:rsidRPr="005B3ABD">
        <w:rPr>
          <w:rStyle w:val="HideTWBExt"/>
          <w:noProof w:val="0"/>
          <w:color w:val="auto"/>
        </w:rPr>
        <w:t>&lt;Article2&gt;</w:t>
      </w:r>
      <w:r w:rsidRPr="005B3ABD">
        <w:t>Annexe VII – part II – points 18 and 19</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B9CDF71" w14:textId="77777777" w:rsidTr="00882D36">
        <w:trPr>
          <w:jc w:val="center"/>
        </w:trPr>
        <w:tc>
          <w:tcPr>
            <w:tcW w:w="9752" w:type="dxa"/>
            <w:gridSpan w:val="2"/>
          </w:tcPr>
          <w:p w14:paraId="63F6BC26" w14:textId="77777777" w:rsidR="003B40DD" w:rsidRPr="005B3ABD" w:rsidRDefault="003B40DD" w:rsidP="00882D36">
            <w:pPr>
              <w:keepNext/>
            </w:pPr>
          </w:p>
        </w:tc>
      </w:tr>
      <w:tr w:rsidR="003B40DD" w:rsidRPr="005B3ABD" w14:paraId="68B5EEE9" w14:textId="77777777" w:rsidTr="00882D36">
        <w:trPr>
          <w:jc w:val="center"/>
        </w:trPr>
        <w:tc>
          <w:tcPr>
            <w:tcW w:w="4876" w:type="dxa"/>
          </w:tcPr>
          <w:p w14:paraId="1C34992A" w14:textId="77777777" w:rsidR="003B40DD" w:rsidRPr="005B3ABD" w:rsidRDefault="003B40DD" w:rsidP="00882D36">
            <w:pPr>
              <w:pStyle w:val="ColumnHeading"/>
              <w:keepNext/>
              <w:rPr>
                <w:color w:val="0000FA"/>
              </w:rPr>
            </w:pPr>
            <w:r w:rsidRPr="005B3ABD">
              <w:t>Text proposed by the Commission</w:t>
            </w:r>
          </w:p>
        </w:tc>
        <w:tc>
          <w:tcPr>
            <w:tcW w:w="4876" w:type="dxa"/>
          </w:tcPr>
          <w:p w14:paraId="28E4B30E" w14:textId="77777777" w:rsidR="003B40DD" w:rsidRPr="005B3ABD" w:rsidRDefault="003B40DD" w:rsidP="00882D36">
            <w:pPr>
              <w:pStyle w:val="ColumnHeading"/>
              <w:keepNext/>
              <w:rPr>
                <w:color w:val="0000F5"/>
              </w:rPr>
            </w:pPr>
            <w:r w:rsidRPr="005B3ABD">
              <w:t>Amendment</w:t>
            </w:r>
          </w:p>
        </w:tc>
      </w:tr>
      <w:tr w:rsidR="003B40DD" w:rsidRPr="005B3ABD" w14:paraId="4281376C" w14:textId="77777777" w:rsidTr="00882D36">
        <w:trPr>
          <w:jc w:val="center"/>
        </w:trPr>
        <w:tc>
          <w:tcPr>
            <w:tcW w:w="4876" w:type="dxa"/>
          </w:tcPr>
          <w:p w14:paraId="269B3DC8" w14:textId="77777777" w:rsidR="003B40DD" w:rsidRPr="005B3ABD" w:rsidRDefault="003B40DD" w:rsidP="00882D36">
            <w:pPr>
              <w:pStyle w:val="Normal6"/>
              <w:rPr>
                <w:color w:val="0000FA"/>
              </w:rPr>
            </w:pPr>
            <w:r w:rsidRPr="005B3ABD">
              <w:rPr>
                <w:b/>
                <w:i/>
              </w:rPr>
              <w:t>(32)</w:t>
            </w:r>
            <w:r w:rsidRPr="005B3ABD">
              <w:rPr>
                <w:b/>
                <w:i/>
              </w:rPr>
              <w:tab/>
              <w:t>in Part II of Annex VII, the following points (18) and (19) are added:</w:t>
            </w:r>
          </w:p>
        </w:tc>
        <w:tc>
          <w:tcPr>
            <w:tcW w:w="4876" w:type="dxa"/>
          </w:tcPr>
          <w:p w14:paraId="2C9DF308" w14:textId="77777777" w:rsidR="003B40DD" w:rsidRPr="005B3ABD" w:rsidRDefault="003B40DD" w:rsidP="00882D36">
            <w:pPr>
              <w:pStyle w:val="Normal6"/>
              <w:rPr>
                <w:color w:val="000005"/>
                <w:szCs w:val="24"/>
              </w:rPr>
            </w:pPr>
            <w:r w:rsidRPr="005B3ABD">
              <w:rPr>
                <w:b/>
                <w:i/>
              </w:rPr>
              <w:t>deleted</w:t>
            </w:r>
          </w:p>
        </w:tc>
      </w:tr>
      <w:tr w:rsidR="003B40DD" w:rsidRPr="005B3ABD" w14:paraId="47DFA9C2" w14:textId="77777777" w:rsidTr="00882D36">
        <w:trPr>
          <w:jc w:val="center"/>
        </w:trPr>
        <w:tc>
          <w:tcPr>
            <w:tcW w:w="4876" w:type="dxa"/>
          </w:tcPr>
          <w:p w14:paraId="723808F1" w14:textId="77777777" w:rsidR="003B40DD" w:rsidRPr="005B3ABD" w:rsidRDefault="003B40DD" w:rsidP="00882D36">
            <w:pPr>
              <w:pStyle w:val="Normal6"/>
              <w:rPr>
                <w:color w:val="0000FA"/>
              </w:rPr>
            </w:pPr>
            <w:r w:rsidRPr="005B3ABD">
              <w:rPr>
                <w:b/>
                <w:i/>
              </w:rPr>
              <w:t>‘18.</w:t>
            </w:r>
            <w:r w:rsidRPr="005B3ABD">
              <w:rPr>
                <w:b/>
                <w:i/>
              </w:rPr>
              <w:tab/>
              <w:t>The term 'de-alcoholised' may be used together with the name of the grapevine products referred to in points 1 and 4 to 9, where the product:</w:t>
            </w:r>
          </w:p>
        </w:tc>
        <w:tc>
          <w:tcPr>
            <w:tcW w:w="4876" w:type="dxa"/>
          </w:tcPr>
          <w:p w14:paraId="6ABBF62A" w14:textId="77777777" w:rsidR="003B40DD" w:rsidRPr="005B3ABD" w:rsidRDefault="003B40DD" w:rsidP="00882D36">
            <w:pPr>
              <w:pStyle w:val="Normal6"/>
              <w:rPr>
                <w:color w:val="000005"/>
                <w:szCs w:val="24"/>
              </w:rPr>
            </w:pPr>
          </w:p>
        </w:tc>
      </w:tr>
      <w:tr w:rsidR="003B40DD" w:rsidRPr="005B3ABD" w14:paraId="3B62FBB7" w14:textId="77777777" w:rsidTr="00882D36">
        <w:trPr>
          <w:jc w:val="center"/>
        </w:trPr>
        <w:tc>
          <w:tcPr>
            <w:tcW w:w="4876" w:type="dxa"/>
          </w:tcPr>
          <w:p w14:paraId="6A806505" w14:textId="77777777" w:rsidR="003B40DD" w:rsidRPr="005B3ABD" w:rsidRDefault="003B40DD" w:rsidP="00882D36">
            <w:pPr>
              <w:pStyle w:val="Normal6"/>
              <w:rPr>
                <w:color w:val="0000FA"/>
              </w:rPr>
            </w:pPr>
            <w:r w:rsidRPr="005B3ABD">
              <w:rPr>
                <w:b/>
                <w:i/>
              </w:rPr>
              <w:t>(a)</w:t>
            </w:r>
            <w:r w:rsidRPr="005B3ABD">
              <w:rPr>
                <w:b/>
                <w:i/>
              </w:rPr>
              <w:tab/>
              <w:t>is obtained from wine as defined in point 1, sparkling wine as defined in point 4, quality sparkling wine as defined in point 5, quality aromatic sparkling wine as defined in point 6, aerated sparkling wine as defined in point 7, semi-sparkling wine as defined in point 8, or from aerated semi-sparkling wine as defined in point 9;</w:t>
            </w:r>
          </w:p>
        </w:tc>
        <w:tc>
          <w:tcPr>
            <w:tcW w:w="4876" w:type="dxa"/>
          </w:tcPr>
          <w:p w14:paraId="5AB06015" w14:textId="77777777" w:rsidR="003B40DD" w:rsidRPr="005B3ABD" w:rsidRDefault="003B40DD" w:rsidP="00882D36">
            <w:pPr>
              <w:pStyle w:val="Normal6"/>
              <w:rPr>
                <w:color w:val="000005"/>
                <w:szCs w:val="24"/>
              </w:rPr>
            </w:pPr>
          </w:p>
        </w:tc>
      </w:tr>
      <w:tr w:rsidR="003B40DD" w:rsidRPr="005B3ABD" w14:paraId="68FB7562" w14:textId="77777777" w:rsidTr="00882D36">
        <w:trPr>
          <w:jc w:val="center"/>
        </w:trPr>
        <w:tc>
          <w:tcPr>
            <w:tcW w:w="4876" w:type="dxa"/>
          </w:tcPr>
          <w:p w14:paraId="5F5F7F82" w14:textId="77777777" w:rsidR="003B40DD" w:rsidRPr="005B3ABD" w:rsidRDefault="003B40DD" w:rsidP="00882D36">
            <w:pPr>
              <w:pStyle w:val="Normal6"/>
              <w:rPr>
                <w:color w:val="0000FA"/>
              </w:rPr>
            </w:pPr>
            <w:r w:rsidRPr="005B3ABD">
              <w:rPr>
                <w:b/>
                <w:i/>
              </w:rPr>
              <w:t>(b)</w:t>
            </w:r>
            <w:r w:rsidRPr="005B3ABD">
              <w:rPr>
                <w:b/>
                <w:i/>
              </w:rPr>
              <w:tab/>
              <w:t>has undergone a dealcoholisation treatment in accordance with the processes specified in Section E of Part I of Annex VIII; and</w:t>
            </w:r>
          </w:p>
        </w:tc>
        <w:tc>
          <w:tcPr>
            <w:tcW w:w="4876" w:type="dxa"/>
          </w:tcPr>
          <w:p w14:paraId="6DAB8ADF" w14:textId="77777777" w:rsidR="003B40DD" w:rsidRPr="005B3ABD" w:rsidRDefault="003B40DD" w:rsidP="00882D36">
            <w:pPr>
              <w:pStyle w:val="Normal6"/>
              <w:rPr>
                <w:color w:val="000005"/>
                <w:szCs w:val="24"/>
              </w:rPr>
            </w:pPr>
          </w:p>
        </w:tc>
      </w:tr>
      <w:tr w:rsidR="003B40DD" w:rsidRPr="005B3ABD" w14:paraId="3739BF16" w14:textId="77777777" w:rsidTr="00882D36">
        <w:trPr>
          <w:jc w:val="center"/>
        </w:trPr>
        <w:tc>
          <w:tcPr>
            <w:tcW w:w="4876" w:type="dxa"/>
          </w:tcPr>
          <w:p w14:paraId="11D331DB" w14:textId="77777777" w:rsidR="003B40DD" w:rsidRPr="005B3ABD" w:rsidRDefault="003B40DD" w:rsidP="00882D36">
            <w:pPr>
              <w:pStyle w:val="Normal6"/>
              <w:rPr>
                <w:color w:val="0000FA"/>
              </w:rPr>
            </w:pPr>
            <w:r w:rsidRPr="005B3ABD">
              <w:rPr>
                <w:b/>
                <w:i/>
              </w:rPr>
              <w:t>(c)</w:t>
            </w:r>
            <w:r w:rsidRPr="005B3ABD">
              <w:rPr>
                <w:b/>
                <w:i/>
              </w:rPr>
              <w:tab/>
              <w:t>have a total alcoholic strength of not more than 0.5 % vol.</w:t>
            </w:r>
          </w:p>
        </w:tc>
        <w:tc>
          <w:tcPr>
            <w:tcW w:w="4876" w:type="dxa"/>
          </w:tcPr>
          <w:p w14:paraId="6E2C5EB2" w14:textId="77777777" w:rsidR="003B40DD" w:rsidRPr="005B3ABD" w:rsidRDefault="003B40DD" w:rsidP="00882D36">
            <w:pPr>
              <w:pStyle w:val="Normal6"/>
              <w:rPr>
                <w:color w:val="000005"/>
                <w:szCs w:val="24"/>
              </w:rPr>
            </w:pPr>
          </w:p>
        </w:tc>
      </w:tr>
      <w:tr w:rsidR="003B40DD" w:rsidRPr="005B3ABD" w14:paraId="53997E4C" w14:textId="77777777" w:rsidTr="00882D36">
        <w:trPr>
          <w:jc w:val="center"/>
        </w:trPr>
        <w:tc>
          <w:tcPr>
            <w:tcW w:w="4876" w:type="dxa"/>
          </w:tcPr>
          <w:p w14:paraId="3D64828A" w14:textId="77777777" w:rsidR="003B40DD" w:rsidRPr="005B3ABD" w:rsidRDefault="003B40DD" w:rsidP="00882D36">
            <w:pPr>
              <w:pStyle w:val="Normal6"/>
              <w:rPr>
                <w:color w:val="0000FA"/>
              </w:rPr>
            </w:pPr>
            <w:r w:rsidRPr="005B3ABD">
              <w:rPr>
                <w:b/>
                <w:i/>
              </w:rPr>
              <w:t>19)</w:t>
            </w:r>
            <w:r w:rsidRPr="005B3ABD">
              <w:rPr>
                <w:b/>
                <w:i/>
              </w:rPr>
              <w:tab/>
              <w:t>The term 'partially de-alcoholised' may be used together with the name of the grapevine products referred to in points 1 and 4 to 9, where the product:</w:t>
            </w:r>
          </w:p>
        </w:tc>
        <w:tc>
          <w:tcPr>
            <w:tcW w:w="4876" w:type="dxa"/>
          </w:tcPr>
          <w:p w14:paraId="53F0AFEA" w14:textId="77777777" w:rsidR="003B40DD" w:rsidRPr="005B3ABD" w:rsidRDefault="003B40DD" w:rsidP="00882D36">
            <w:pPr>
              <w:pStyle w:val="Normal6"/>
              <w:rPr>
                <w:color w:val="000005"/>
                <w:szCs w:val="24"/>
              </w:rPr>
            </w:pPr>
          </w:p>
        </w:tc>
      </w:tr>
      <w:tr w:rsidR="003B40DD" w:rsidRPr="005B3ABD" w14:paraId="5C231A0E" w14:textId="77777777" w:rsidTr="00882D36">
        <w:trPr>
          <w:jc w:val="center"/>
        </w:trPr>
        <w:tc>
          <w:tcPr>
            <w:tcW w:w="4876" w:type="dxa"/>
          </w:tcPr>
          <w:p w14:paraId="428EFEBA" w14:textId="77777777" w:rsidR="003B40DD" w:rsidRPr="005B3ABD" w:rsidRDefault="003B40DD" w:rsidP="00882D36">
            <w:pPr>
              <w:pStyle w:val="Normal6"/>
              <w:rPr>
                <w:color w:val="0000FA"/>
              </w:rPr>
            </w:pPr>
            <w:r w:rsidRPr="005B3ABD">
              <w:rPr>
                <w:b/>
                <w:i/>
              </w:rPr>
              <w:t>(a)</w:t>
            </w:r>
            <w:r w:rsidRPr="005B3ABD">
              <w:rPr>
                <w:b/>
                <w:i/>
              </w:rPr>
              <w:tab/>
              <w:t>is obtained from wine as defined in point 1, sparkling wine as defined in point 4, quality sparkling wine as defined in point 5, quality aromatic sparkling wine as defined in point 6, aerated sparkling wine as defined in point 7, semi-sparkling wine as defined in point 8, or from aerated semi-sparkling wine as defined in point 9;</w:t>
            </w:r>
          </w:p>
        </w:tc>
        <w:tc>
          <w:tcPr>
            <w:tcW w:w="4876" w:type="dxa"/>
          </w:tcPr>
          <w:p w14:paraId="02CF0C9A" w14:textId="77777777" w:rsidR="003B40DD" w:rsidRPr="005B3ABD" w:rsidRDefault="003B40DD" w:rsidP="00882D36">
            <w:pPr>
              <w:pStyle w:val="Normal6"/>
              <w:rPr>
                <w:color w:val="000005"/>
                <w:szCs w:val="24"/>
              </w:rPr>
            </w:pPr>
          </w:p>
        </w:tc>
      </w:tr>
      <w:tr w:rsidR="003B40DD" w:rsidRPr="005B3ABD" w14:paraId="3FBC9BA9" w14:textId="77777777" w:rsidTr="00882D36">
        <w:trPr>
          <w:jc w:val="center"/>
        </w:trPr>
        <w:tc>
          <w:tcPr>
            <w:tcW w:w="4876" w:type="dxa"/>
          </w:tcPr>
          <w:p w14:paraId="49AB6813" w14:textId="77777777" w:rsidR="003B40DD" w:rsidRPr="005B3ABD" w:rsidRDefault="003B40DD" w:rsidP="00882D36">
            <w:pPr>
              <w:pStyle w:val="Normal6"/>
              <w:rPr>
                <w:color w:val="0000FA"/>
              </w:rPr>
            </w:pPr>
            <w:r w:rsidRPr="005B3ABD">
              <w:rPr>
                <w:b/>
                <w:i/>
              </w:rPr>
              <w:t>(b)</w:t>
            </w:r>
            <w:r w:rsidRPr="005B3ABD">
              <w:rPr>
                <w:b/>
                <w:i/>
              </w:rPr>
              <w:tab/>
              <w:t xml:space="preserve">has undergone a dealcoholisation treatment in accordance with the processes specified in Section E of Part I </w:t>
            </w:r>
            <w:r w:rsidRPr="005B3ABD">
              <w:rPr>
                <w:b/>
                <w:i/>
              </w:rPr>
              <w:lastRenderedPageBreak/>
              <w:t>of Annex VIII; and</w:t>
            </w:r>
          </w:p>
        </w:tc>
        <w:tc>
          <w:tcPr>
            <w:tcW w:w="4876" w:type="dxa"/>
          </w:tcPr>
          <w:p w14:paraId="4FC47B57" w14:textId="77777777" w:rsidR="003B40DD" w:rsidRPr="005B3ABD" w:rsidRDefault="003B40DD" w:rsidP="00882D36">
            <w:pPr>
              <w:pStyle w:val="Normal6"/>
              <w:rPr>
                <w:color w:val="000005"/>
                <w:szCs w:val="24"/>
              </w:rPr>
            </w:pPr>
          </w:p>
        </w:tc>
      </w:tr>
      <w:tr w:rsidR="003B40DD" w:rsidRPr="005B3ABD" w14:paraId="08E5B0C5" w14:textId="77777777" w:rsidTr="00882D36">
        <w:trPr>
          <w:jc w:val="center"/>
        </w:trPr>
        <w:tc>
          <w:tcPr>
            <w:tcW w:w="4876" w:type="dxa"/>
          </w:tcPr>
          <w:p w14:paraId="41AC812E" w14:textId="77777777" w:rsidR="003B40DD" w:rsidRPr="005B3ABD" w:rsidRDefault="003B40DD" w:rsidP="00882D36">
            <w:pPr>
              <w:pStyle w:val="Normal6"/>
              <w:rPr>
                <w:color w:val="0000FA"/>
              </w:rPr>
            </w:pPr>
            <w:r w:rsidRPr="005B3ABD">
              <w:rPr>
                <w:b/>
                <w:i/>
              </w:rPr>
              <w:t>(c)</w:t>
            </w:r>
            <w:r w:rsidRPr="005B3ABD">
              <w:rPr>
                <w:b/>
                <w:i/>
              </w:rPr>
              <w:tab/>
              <w:t xml:space="preserve">has a total alcoholic strength of more than 0,5 % by volume and following the processes specified in Section E of Part I of Annex VIII its total alcoholic strength is reduced by more than 20 % by volume compared to its initial total alcoholic strength.;’ </w:t>
            </w:r>
          </w:p>
        </w:tc>
        <w:tc>
          <w:tcPr>
            <w:tcW w:w="4876" w:type="dxa"/>
          </w:tcPr>
          <w:p w14:paraId="11E492F0" w14:textId="77777777" w:rsidR="003B40DD" w:rsidRPr="005B3ABD" w:rsidRDefault="003B40DD" w:rsidP="00882D36">
            <w:pPr>
              <w:pStyle w:val="Normal6"/>
              <w:rPr>
                <w:szCs w:val="24"/>
              </w:rPr>
            </w:pPr>
          </w:p>
        </w:tc>
      </w:tr>
    </w:tbl>
    <w:p w14:paraId="6EBB3627"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F19660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C6C4874" w14:textId="77777777" w:rsidR="003B40DD" w:rsidRPr="005B3ABD" w:rsidRDefault="003B40DD" w:rsidP="003B40DD">
      <w:pPr>
        <w:pStyle w:val="Normal12Italic"/>
      </w:pPr>
      <w:r w:rsidRPr="005B3ABD">
        <w:t>The creation of this new category of de-alcoholised wines does not correspond to the definition of wine in Annex VII Part II of the CMO Regulation. De-alcoholised wines require the addition of aromas to compensate for their loss in alcohol and are assimilated to industrial products. These wine-based products should not fall under CMO rules but rather under Regulation 251/2014 on aromatised wines.</w:t>
      </w:r>
    </w:p>
    <w:p w14:paraId="5124542B" w14:textId="77777777" w:rsidR="003B40DD" w:rsidRPr="005B3ABD" w:rsidRDefault="003B40DD" w:rsidP="003B40DD">
      <w:r w:rsidRPr="005B3ABD">
        <w:rPr>
          <w:rStyle w:val="HideTWBExt"/>
          <w:noProof w:val="0"/>
          <w:color w:val="auto"/>
        </w:rPr>
        <w:t>&lt;/Amend&gt;</w:t>
      </w:r>
    </w:p>
    <w:p w14:paraId="14ACBBC8"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92</w:t>
      </w:r>
      <w:r w:rsidRPr="005B3ABD">
        <w:rPr>
          <w:rStyle w:val="HideTWBExt"/>
          <w:b w:val="0"/>
          <w:noProof w:val="0"/>
          <w:color w:val="auto"/>
        </w:rPr>
        <w:t>&lt;/NumAm&gt;</w:t>
      </w:r>
    </w:p>
    <w:p w14:paraId="41ACA70C"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7914477"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33</w:t>
      </w:r>
      <w:r w:rsidRPr="005B3ABD">
        <w:rPr>
          <w:rStyle w:val="HideTWBExt"/>
          <w:b w:val="0"/>
          <w:noProof w:val="0"/>
          <w:color w:val="auto"/>
        </w:rPr>
        <w:t>&lt;/Article&gt;</w:t>
      </w:r>
    </w:p>
    <w:p w14:paraId="3AFC392F"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792AA380" w14:textId="77777777" w:rsidR="003B40DD" w:rsidRPr="005B3ABD" w:rsidRDefault="003B40DD" w:rsidP="003B40DD">
      <w:r w:rsidRPr="005B3ABD">
        <w:rPr>
          <w:rStyle w:val="HideTWBExt"/>
          <w:noProof w:val="0"/>
          <w:color w:val="auto"/>
        </w:rPr>
        <w:t>&lt;Article2&gt;</w:t>
      </w:r>
      <w:r w:rsidRPr="005B3ABD">
        <w:t>Annex VIII – part I – Section E</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6B419C1" w14:textId="77777777" w:rsidTr="00882D36">
        <w:trPr>
          <w:jc w:val="center"/>
        </w:trPr>
        <w:tc>
          <w:tcPr>
            <w:tcW w:w="9752" w:type="dxa"/>
            <w:gridSpan w:val="2"/>
          </w:tcPr>
          <w:p w14:paraId="73CF6720" w14:textId="77777777" w:rsidR="003B40DD" w:rsidRPr="005B3ABD" w:rsidRDefault="003B40DD" w:rsidP="00882D36">
            <w:pPr>
              <w:keepNext/>
            </w:pPr>
          </w:p>
        </w:tc>
      </w:tr>
      <w:tr w:rsidR="003B40DD" w:rsidRPr="005B3ABD" w14:paraId="01E3A8E8" w14:textId="77777777" w:rsidTr="00882D36">
        <w:trPr>
          <w:jc w:val="center"/>
        </w:trPr>
        <w:tc>
          <w:tcPr>
            <w:tcW w:w="4876" w:type="dxa"/>
          </w:tcPr>
          <w:p w14:paraId="764CE6F0" w14:textId="77777777" w:rsidR="003B40DD" w:rsidRPr="005B3ABD" w:rsidRDefault="003B40DD" w:rsidP="00882D36">
            <w:pPr>
              <w:pStyle w:val="ColumnHeading"/>
              <w:keepNext/>
              <w:rPr>
                <w:color w:val="0000FA"/>
              </w:rPr>
            </w:pPr>
            <w:r w:rsidRPr="005B3ABD">
              <w:t>Text proposed by the Commission</w:t>
            </w:r>
          </w:p>
        </w:tc>
        <w:tc>
          <w:tcPr>
            <w:tcW w:w="4876" w:type="dxa"/>
          </w:tcPr>
          <w:p w14:paraId="7F447FB1" w14:textId="77777777" w:rsidR="003B40DD" w:rsidRPr="005B3ABD" w:rsidRDefault="003B40DD" w:rsidP="00882D36">
            <w:pPr>
              <w:pStyle w:val="ColumnHeading"/>
              <w:keepNext/>
              <w:rPr>
                <w:color w:val="0000F5"/>
              </w:rPr>
            </w:pPr>
            <w:r w:rsidRPr="005B3ABD">
              <w:t>Amendment</w:t>
            </w:r>
          </w:p>
        </w:tc>
      </w:tr>
      <w:tr w:rsidR="003B40DD" w:rsidRPr="005B3ABD" w14:paraId="51435264" w14:textId="77777777" w:rsidTr="00882D36">
        <w:trPr>
          <w:jc w:val="center"/>
        </w:trPr>
        <w:tc>
          <w:tcPr>
            <w:tcW w:w="4876" w:type="dxa"/>
          </w:tcPr>
          <w:p w14:paraId="15D38CA6" w14:textId="77777777" w:rsidR="003B40DD" w:rsidRPr="005B3ABD" w:rsidRDefault="003B40DD" w:rsidP="00882D36">
            <w:pPr>
              <w:pStyle w:val="Normal6"/>
              <w:rPr>
                <w:color w:val="0000FA"/>
              </w:rPr>
            </w:pPr>
            <w:r w:rsidRPr="005B3ABD">
              <w:rPr>
                <w:b/>
                <w:i/>
              </w:rPr>
              <w:t>(33)</w:t>
            </w:r>
            <w:r w:rsidRPr="005B3ABD">
              <w:rPr>
                <w:b/>
                <w:i/>
              </w:rPr>
              <w:tab/>
              <w:t>in Part I of Annex VIII, the following Section E is added:</w:t>
            </w:r>
          </w:p>
        </w:tc>
        <w:tc>
          <w:tcPr>
            <w:tcW w:w="4876" w:type="dxa"/>
          </w:tcPr>
          <w:p w14:paraId="6FC770E7" w14:textId="77777777" w:rsidR="003B40DD" w:rsidRPr="005B3ABD" w:rsidRDefault="003B40DD" w:rsidP="00882D36">
            <w:pPr>
              <w:pStyle w:val="Normal6"/>
              <w:rPr>
                <w:color w:val="000005"/>
                <w:szCs w:val="24"/>
              </w:rPr>
            </w:pPr>
            <w:r w:rsidRPr="005B3ABD">
              <w:rPr>
                <w:b/>
                <w:i/>
              </w:rPr>
              <w:t>deleted</w:t>
            </w:r>
          </w:p>
        </w:tc>
      </w:tr>
      <w:tr w:rsidR="003B40DD" w:rsidRPr="005B3ABD" w14:paraId="1510D5C4" w14:textId="77777777" w:rsidTr="00882D36">
        <w:trPr>
          <w:jc w:val="center"/>
        </w:trPr>
        <w:tc>
          <w:tcPr>
            <w:tcW w:w="4876" w:type="dxa"/>
          </w:tcPr>
          <w:p w14:paraId="1EBCA590" w14:textId="77777777" w:rsidR="003B40DD" w:rsidRPr="005B3ABD" w:rsidRDefault="003B40DD" w:rsidP="00882D36">
            <w:pPr>
              <w:pStyle w:val="Normal6"/>
              <w:rPr>
                <w:color w:val="0000FA"/>
              </w:rPr>
            </w:pPr>
            <w:r w:rsidRPr="005B3ABD">
              <w:rPr>
                <w:b/>
                <w:i/>
              </w:rPr>
              <w:t>‘E. Dealcoholisation processes</w:t>
            </w:r>
          </w:p>
        </w:tc>
        <w:tc>
          <w:tcPr>
            <w:tcW w:w="4876" w:type="dxa"/>
          </w:tcPr>
          <w:p w14:paraId="462859FB" w14:textId="77777777" w:rsidR="003B40DD" w:rsidRPr="005B3ABD" w:rsidRDefault="003B40DD" w:rsidP="00882D36">
            <w:pPr>
              <w:pStyle w:val="Normal6"/>
              <w:rPr>
                <w:color w:val="000005"/>
                <w:szCs w:val="24"/>
              </w:rPr>
            </w:pPr>
          </w:p>
        </w:tc>
      </w:tr>
      <w:tr w:rsidR="003B40DD" w:rsidRPr="005B3ABD" w14:paraId="7C98A213" w14:textId="77777777" w:rsidTr="00882D36">
        <w:trPr>
          <w:jc w:val="center"/>
        </w:trPr>
        <w:tc>
          <w:tcPr>
            <w:tcW w:w="4876" w:type="dxa"/>
          </w:tcPr>
          <w:p w14:paraId="41E5830A" w14:textId="77777777" w:rsidR="003B40DD" w:rsidRPr="005B3ABD" w:rsidRDefault="003B40DD" w:rsidP="00882D36">
            <w:pPr>
              <w:pStyle w:val="Normal6"/>
              <w:rPr>
                <w:color w:val="0000FA"/>
              </w:rPr>
            </w:pPr>
            <w:r w:rsidRPr="005B3ABD">
              <w:rPr>
                <w:b/>
                <w:i/>
              </w:rPr>
              <w:t>The following dealcoholisation processes, whether used each of its own or in combination, shall be allowed to reduce part of or almost all the ethanol content in grapevine products referred to in points 1 and 4 to 9 of Part II of Annex VII:</w:t>
            </w:r>
          </w:p>
        </w:tc>
        <w:tc>
          <w:tcPr>
            <w:tcW w:w="4876" w:type="dxa"/>
          </w:tcPr>
          <w:p w14:paraId="1CE0F160" w14:textId="77777777" w:rsidR="003B40DD" w:rsidRPr="005B3ABD" w:rsidRDefault="003B40DD" w:rsidP="00882D36">
            <w:pPr>
              <w:pStyle w:val="Normal6"/>
              <w:rPr>
                <w:color w:val="000005"/>
                <w:szCs w:val="24"/>
              </w:rPr>
            </w:pPr>
          </w:p>
        </w:tc>
      </w:tr>
      <w:tr w:rsidR="003B40DD" w:rsidRPr="005B3ABD" w14:paraId="27E648C9" w14:textId="77777777" w:rsidTr="00882D36">
        <w:trPr>
          <w:jc w:val="center"/>
        </w:trPr>
        <w:tc>
          <w:tcPr>
            <w:tcW w:w="4876" w:type="dxa"/>
          </w:tcPr>
          <w:p w14:paraId="068EA792" w14:textId="77777777" w:rsidR="003B40DD" w:rsidRPr="005B3ABD" w:rsidRDefault="003B40DD" w:rsidP="00882D36">
            <w:pPr>
              <w:pStyle w:val="Normal6"/>
              <w:rPr>
                <w:color w:val="0000FA"/>
              </w:rPr>
            </w:pPr>
            <w:r w:rsidRPr="005B3ABD">
              <w:rPr>
                <w:b/>
                <w:i/>
              </w:rPr>
              <w:t>(a)</w:t>
            </w:r>
            <w:r w:rsidRPr="005B3ABD">
              <w:rPr>
                <w:b/>
                <w:i/>
              </w:rPr>
              <w:tab/>
              <w:t>partial vacuum evaporation;</w:t>
            </w:r>
          </w:p>
        </w:tc>
        <w:tc>
          <w:tcPr>
            <w:tcW w:w="4876" w:type="dxa"/>
          </w:tcPr>
          <w:p w14:paraId="29BF3879" w14:textId="77777777" w:rsidR="003B40DD" w:rsidRPr="005B3ABD" w:rsidRDefault="003B40DD" w:rsidP="00882D36">
            <w:pPr>
              <w:pStyle w:val="Normal6"/>
              <w:rPr>
                <w:color w:val="000005"/>
                <w:szCs w:val="24"/>
              </w:rPr>
            </w:pPr>
          </w:p>
        </w:tc>
      </w:tr>
      <w:tr w:rsidR="003B40DD" w:rsidRPr="005B3ABD" w14:paraId="4B7630C7" w14:textId="77777777" w:rsidTr="00882D36">
        <w:trPr>
          <w:jc w:val="center"/>
        </w:trPr>
        <w:tc>
          <w:tcPr>
            <w:tcW w:w="4876" w:type="dxa"/>
          </w:tcPr>
          <w:p w14:paraId="4882FDCB" w14:textId="77777777" w:rsidR="003B40DD" w:rsidRPr="005B3ABD" w:rsidRDefault="003B40DD" w:rsidP="00882D36">
            <w:pPr>
              <w:pStyle w:val="Normal6"/>
              <w:rPr>
                <w:color w:val="0000FA"/>
              </w:rPr>
            </w:pPr>
            <w:r w:rsidRPr="005B3ABD">
              <w:rPr>
                <w:b/>
                <w:i/>
              </w:rPr>
              <w:t>(b)</w:t>
            </w:r>
            <w:r w:rsidRPr="005B3ABD">
              <w:rPr>
                <w:b/>
                <w:i/>
              </w:rPr>
              <w:tab/>
              <w:t>membrane techniques;</w:t>
            </w:r>
          </w:p>
        </w:tc>
        <w:tc>
          <w:tcPr>
            <w:tcW w:w="4876" w:type="dxa"/>
          </w:tcPr>
          <w:p w14:paraId="644F261E" w14:textId="77777777" w:rsidR="003B40DD" w:rsidRPr="005B3ABD" w:rsidRDefault="003B40DD" w:rsidP="00882D36">
            <w:pPr>
              <w:pStyle w:val="Normal6"/>
              <w:rPr>
                <w:color w:val="000005"/>
                <w:szCs w:val="24"/>
              </w:rPr>
            </w:pPr>
          </w:p>
        </w:tc>
      </w:tr>
      <w:tr w:rsidR="003B40DD" w:rsidRPr="005B3ABD" w14:paraId="2178A077" w14:textId="77777777" w:rsidTr="00882D36">
        <w:trPr>
          <w:jc w:val="center"/>
        </w:trPr>
        <w:tc>
          <w:tcPr>
            <w:tcW w:w="4876" w:type="dxa"/>
          </w:tcPr>
          <w:p w14:paraId="103A2101" w14:textId="77777777" w:rsidR="003B40DD" w:rsidRPr="005B3ABD" w:rsidRDefault="003B40DD" w:rsidP="00882D36">
            <w:pPr>
              <w:pStyle w:val="Normal6"/>
              <w:rPr>
                <w:color w:val="0000FA"/>
              </w:rPr>
            </w:pPr>
            <w:r w:rsidRPr="005B3ABD">
              <w:rPr>
                <w:b/>
                <w:i/>
              </w:rPr>
              <w:t>(c)</w:t>
            </w:r>
            <w:r w:rsidRPr="005B3ABD">
              <w:rPr>
                <w:b/>
                <w:i/>
              </w:rPr>
              <w:tab/>
              <w:t>distillation.</w:t>
            </w:r>
          </w:p>
        </w:tc>
        <w:tc>
          <w:tcPr>
            <w:tcW w:w="4876" w:type="dxa"/>
          </w:tcPr>
          <w:p w14:paraId="2110ED9F" w14:textId="77777777" w:rsidR="003B40DD" w:rsidRPr="005B3ABD" w:rsidRDefault="003B40DD" w:rsidP="00882D36">
            <w:pPr>
              <w:pStyle w:val="Normal6"/>
              <w:rPr>
                <w:color w:val="000005"/>
                <w:szCs w:val="24"/>
              </w:rPr>
            </w:pPr>
          </w:p>
        </w:tc>
      </w:tr>
      <w:tr w:rsidR="003B40DD" w:rsidRPr="005B3ABD" w14:paraId="32E3F567" w14:textId="77777777" w:rsidTr="00882D36">
        <w:trPr>
          <w:jc w:val="center"/>
        </w:trPr>
        <w:tc>
          <w:tcPr>
            <w:tcW w:w="4876" w:type="dxa"/>
          </w:tcPr>
          <w:p w14:paraId="2BB0B572" w14:textId="77777777" w:rsidR="003B40DD" w:rsidRPr="005B3ABD" w:rsidRDefault="003B40DD" w:rsidP="00882D36">
            <w:pPr>
              <w:pStyle w:val="Normal6"/>
              <w:rPr>
                <w:color w:val="0000FA"/>
              </w:rPr>
            </w:pPr>
            <w:r w:rsidRPr="005B3ABD">
              <w:rPr>
                <w:b/>
                <w:i/>
              </w:rPr>
              <w:t xml:space="preserve">The dealcoholisation processes shall not result in organoleptic defects of the grapevine product. The elimination of ethanol in grapevine product must not be </w:t>
            </w:r>
            <w:r w:rsidRPr="005B3ABD">
              <w:rPr>
                <w:b/>
                <w:i/>
              </w:rPr>
              <w:lastRenderedPageBreak/>
              <w:t xml:space="preserve">done in conjunction with the increase of the sugar content in the grape must.'. </w:t>
            </w:r>
          </w:p>
        </w:tc>
        <w:tc>
          <w:tcPr>
            <w:tcW w:w="4876" w:type="dxa"/>
          </w:tcPr>
          <w:p w14:paraId="352DA371" w14:textId="77777777" w:rsidR="003B40DD" w:rsidRPr="005B3ABD" w:rsidRDefault="003B40DD" w:rsidP="00882D36">
            <w:pPr>
              <w:pStyle w:val="Normal6"/>
              <w:rPr>
                <w:szCs w:val="24"/>
              </w:rPr>
            </w:pPr>
          </w:p>
        </w:tc>
      </w:tr>
    </w:tbl>
    <w:p w14:paraId="6E4A319A"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F5DE233"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FBB7EBE" w14:textId="77777777" w:rsidR="003B40DD" w:rsidRPr="005B3ABD" w:rsidRDefault="003B40DD" w:rsidP="003B40DD">
      <w:pPr>
        <w:pStyle w:val="Normal12Italic"/>
      </w:pPr>
      <w:r w:rsidRPr="005B3ABD">
        <w:t>The creation of this new category of de-alcoholised wines does not correspond to the definition of wine in Annex VII Part II of the CMO Regulation. De-alcoholised wines require the addition of aromas to compensate for their loss in alcohol and are assimilated to industrial products. These wine-based products should not fall under CMO rules but rather under Regulation 251/2014 on aromatised wines.</w:t>
      </w:r>
    </w:p>
    <w:p w14:paraId="16FA0C0D" w14:textId="77777777" w:rsidR="003B40DD" w:rsidRPr="005B3ABD" w:rsidRDefault="003B40DD" w:rsidP="003B40DD">
      <w:r w:rsidRPr="005B3ABD">
        <w:rPr>
          <w:rStyle w:val="HideTWBExt"/>
          <w:noProof w:val="0"/>
          <w:color w:val="auto"/>
        </w:rPr>
        <w:t>&lt;/Amend&gt;</w:t>
      </w:r>
    </w:p>
    <w:p w14:paraId="15807AB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93</w:t>
      </w:r>
      <w:r w:rsidRPr="005B3ABD">
        <w:rPr>
          <w:rStyle w:val="HideTWBExt"/>
          <w:b w:val="0"/>
          <w:noProof w:val="0"/>
          <w:color w:val="auto"/>
        </w:rPr>
        <w:t>&lt;/NumAm&gt;</w:t>
      </w:r>
    </w:p>
    <w:p w14:paraId="7CF0BB3C"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A4BEE33"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33 a (new)</w:t>
      </w:r>
      <w:r w:rsidRPr="005B3ABD">
        <w:rPr>
          <w:rStyle w:val="HideTWBExt"/>
          <w:b w:val="0"/>
          <w:noProof w:val="0"/>
          <w:color w:val="auto"/>
        </w:rPr>
        <w:t>&lt;/Article&gt;</w:t>
      </w:r>
    </w:p>
    <w:p w14:paraId="0DFDE8AE"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60D41FFE" w14:textId="77777777" w:rsidR="003B40DD" w:rsidRPr="005B3ABD" w:rsidRDefault="003B40DD" w:rsidP="003B40DD">
      <w:r w:rsidRPr="005B3ABD">
        <w:rPr>
          <w:rStyle w:val="HideTWBExt"/>
          <w:noProof w:val="0"/>
          <w:color w:val="auto"/>
        </w:rPr>
        <w:t>&lt;Article2&gt;</w:t>
      </w:r>
      <w:r w:rsidRPr="005B3ABD">
        <w:t>Annex XI</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520591CE" w14:textId="77777777" w:rsidTr="00882D36">
        <w:trPr>
          <w:jc w:val="center"/>
        </w:trPr>
        <w:tc>
          <w:tcPr>
            <w:tcW w:w="9752" w:type="dxa"/>
            <w:gridSpan w:val="2"/>
          </w:tcPr>
          <w:p w14:paraId="44DC49BC" w14:textId="77777777" w:rsidR="003B40DD" w:rsidRPr="005B3ABD" w:rsidRDefault="003B40DD" w:rsidP="00882D36">
            <w:pPr>
              <w:keepNext/>
            </w:pPr>
          </w:p>
        </w:tc>
      </w:tr>
      <w:tr w:rsidR="003B40DD" w:rsidRPr="005B3ABD" w14:paraId="3C5D2D55" w14:textId="77777777" w:rsidTr="00882D36">
        <w:trPr>
          <w:jc w:val="center"/>
        </w:trPr>
        <w:tc>
          <w:tcPr>
            <w:tcW w:w="4876" w:type="dxa"/>
          </w:tcPr>
          <w:p w14:paraId="3AB763E1" w14:textId="77777777" w:rsidR="003B40DD" w:rsidRPr="005B3ABD" w:rsidRDefault="003B40DD" w:rsidP="00882D36">
            <w:pPr>
              <w:pStyle w:val="ColumnHeading"/>
              <w:keepNext/>
              <w:rPr>
                <w:color w:val="0000FA"/>
              </w:rPr>
            </w:pPr>
            <w:r w:rsidRPr="005B3ABD">
              <w:t>Text proposed by the Commission</w:t>
            </w:r>
          </w:p>
        </w:tc>
        <w:tc>
          <w:tcPr>
            <w:tcW w:w="4876" w:type="dxa"/>
          </w:tcPr>
          <w:p w14:paraId="287F72A0" w14:textId="77777777" w:rsidR="003B40DD" w:rsidRPr="005B3ABD" w:rsidRDefault="003B40DD" w:rsidP="00882D36">
            <w:pPr>
              <w:pStyle w:val="ColumnHeading"/>
              <w:keepNext/>
              <w:rPr>
                <w:color w:val="0000F5"/>
              </w:rPr>
            </w:pPr>
            <w:r w:rsidRPr="005B3ABD">
              <w:t>Amendment</w:t>
            </w:r>
          </w:p>
        </w:tc>
      </w:tr>
      <w:tr w:rsidR="003B40DD" w:rsidRPr="005B3ABD" w14:paraId="26CFDC69" w14:textId="77777777" w:rsidTr="00882D36">
        <w:trPr>
          <w:jc w:val="center"/>
        </w:trPr>
        <w:tc>
          <w:tcPr>
            <w:tcW w:w="4876" w:type="dxa"/>
          </w:tcPr>
          <w:p w14:paraId="5DA0DB1C" w14:textId="77777777" w:rsidR="003B40DD" w:rsidRPr="005B3ABD" w:rsidRDefault="003B40DD" w:rsidP="00882D36">
            <w:pPr>
              <w:pStyle w:val="Normal6"/>
              <w:rPr>
                <w:color w:val="0000FA"/>
              </w:rPr>
            </w:pPr>
          </w:p>
        </w:tc>
        <w:tc>
          <w:tcPr>
            <w:tcW w:w="4876" w:type="dxa"/>
          </w:tcPr>
          <w:p w14:paraId="7F02BB14" w14:textId="77777777" w:rsidR="003B40DD" w:rsidRPr="005B3ABD" w:rsidRDefault="003B40DD" w:rsidP="00882D36">
            <w:pPr>
              <w:pStyle w:val="Normal6"/>
              <w:rPr>
                <w:szCs w:val="24"/>
              </w:rPr>
            </w:pPr>
            <w:r w:rsidRPr="005B3ABD">
              <w:rPr>
                <w:b/>
                <w:i/>
              </w:rPr>
              <w:t>(31 a)</w:t>
            </w:r>
            <w:r w:rsidRPr="005B3ABD">
              <w:rPr>
                <w:b/>
                <w:i/>
              </w:rPr>
              <w:tab/>
              <w:t>Annex XI deleted</w:t>
            </w:r>
          </w:p>
        </w:tc>
      </w:tr>
    </w:tbl>
    <w:p w14:paraId="0F47829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4569712F"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927F6DB" w14:textId="77777777" w:rsidR="003B40DD" w:rsidRPr="005B3ABD" w:rsidRDefault="003B40DD" w:rsidP="003B40DD">
      <w:pPr>
        <w:pStyle w:val="Normal12Italic"/>
      </w:pPr>
      <w:r w:rsidRPr="005B3ABD">
        <w:t>The sugar quotas were lifted. The Commission failed to delete Annex XI</w:t>
      </w:r>
    </w:p>
    <w:p w14:paraId="0D362726" w14:textId="77777777" w:rsidR="003B40DD" w:rsidRPr="005B3ABD" w:rsidRDefault="003B40DD" w:rsidP="003B40DD">
      <w:r w:rsidRPr="005B3ABD">
        <w:rPr>
          <w:rStyle w:val="HideTWBExt"/>
          <w:noProof w:val="0"/>
          <w:color w:val="auto"/>
        </w:rPr>
        <w:t>&lt;/Amend&gt;</w:t>
      </w:r>
    </w:p>
    <w:p w14:paraId="7B77917B"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94</w:t>
      </w:r>
      <w:r w:rsidRPr="005B3ABD">
        <w:rPr>
          <w:rStyle w:val="HideTWBExt"/>
          <w:b w:val="0"/>
          <w:noProof w:val="0"/>
          <w:color w:val="auto"/>
        </w:rPr>
        <w:t>&lt;/NumAm&gt;</w:t>
      </w:r>
    </w:p>
    <w:p w14:paraId="3515225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06D2DA18"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33 b (new)</w:t>
      </w:r>
      <w:r w:rsidRPr="005B3ABD">
        <w:rPr>
          <w:rStyle w:val="HideTWBExt"/>
          <w:b w:val="0"/>
          <w:noProof w:val="0"/>
          <w:color w:val="auto"/>
        </w:rPr>
        <w:t>&lt;/Article&gt;</w:t>
      </w:r>
    </w:p>
    <w:p w14:paraId="62057B92"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07627A5E" w14:textId="77777777" w:rsidR="003B40DD" w:rsidRPr="005B3ABD" w:rsidRDefault="003B40DD" w:rsidP="003B40DD">
      <w:r w:rsidRPr="005B3ABD">
        <w:rPr>
          <w:rStyle w:val="HideTWBExt"/>
          <w:noProof w:val="0"/>
          <w:color w:val="auto"/>
        </w:rPr>
        <w:t>&lt;Article2&gt;</w:t>
      </w:r>
      <w:r w:rsidRPr="005B3ABD">
        <w:t>Annex XII</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2A6CB7A" w14:textId="77777777" w:rsidTr="00882D36">
        <w:trPr>
          <w:jc w:val="center"/>
        </w:trPr>
        <w:tc>
          <w:tcPr>
            <w:tcW w:w="9752" w:type="dxa"/>
            <w:gridSpan w:val="2"/>
          </w:tcPr>
          <w:p w14:paraId="67FD11F5" w14:textId="77777777" w:rsidR="003B40DD" w:rsidRPr="005B3ABD" w:rsidRDefault="003B40DD" w:rsidP="00882D36">
            <w:pPr>
              <w:keepNext/>
            </w:pPr>
          </w:p>
        </w:tc>
      </w:tr>
      <w:tr w:rsidR="003B40DD" w:rsidRPr="005B3ABD" w14:paraId="4908B5B9" w14:textId="77777777" w:rsidTr="00882D36">
        <w:trPr>
          <w:jc w:val="center"/>
        </w:trPr>
        <w:tc>
          <w:tcPr>
            <w:tcW w:w="4876" w:type="dxa"/>
          </w:tcPr>
          <w:p w14:paraId="03D9019B" w14:textId="77777777" w:rsidR="003B40DD" w:rsidRPr="005B3ABD" w:rsidRDefault="003B40DD" w:rsidP="00882D36">
            <w:pPr>
              <w:pStyle w:val="ColumnHeading"/>
              <w:keepNext/>
              <w:rPr>
                <w:color w:val="0000FA"/>
              </w:rPr>
            </w:pPr>
            <w:r w:rsidRPr="005B3ABD">
              <w:t>Text proposed by the Commission</w:t>
            </w:r>
          </w:p>
        </w:tc>
        <w:tc>
          <w:tcPr>
            <w:tcW w:w="4876" w:type="dxa"/>
          </w:tcPr>
          <w:p w14:paraId="371F5B92" w14:textId="77777777" w:rsidR="003B40DD" w:rsidRPr="005B3ABD" w:rsidRDefault="003B40DD" w:rsidP="00882D36">
            <w:pPr>
              <w:pStyle w:val="ColumnHeading"/>
              <w:keepNext/>
              <w:rPr>
                <w:color w:val="0000F5"/>
              </w:rPr>
            </w:pPr>
            <w:r w:rsidRPr="005B3ABD">
              <w:t>Amendment</w:t>
            </w:r>
          </w:p>
        </w:tc>
      </w:tr>
      <w:tr w:rsidR="003B40DD" w:rsidRPr="005B3ABD" w14:paraId="1A53AE74" w14:textId="77777777" w:rsidTr="00882D36">
        <w:trPr>
          <w:jc w:val="center"/>
        </w:trPr>
        <w:tc>
          <w:tcPr>
            <w:tcW w:w="4876" w:type="dxa"/>
          </w:tcPr>
          <w:p w14:paraId="6E305132" w14:textId="77777777" w:rsidR="003B40DD" w:rsidRPr="005B3ABD" w:rsidRDefault="003B40DD" w:rsidP="00882D36">
            <w:pPr>
              <w:pStyle w:val="Normal6"/>
              <w:rPr>
                <w:color w:val="0000FA"/>
              </w:rPr>
            </w:pPr>
          </w:p>
        </w:tc>
        <w:tc>
          <w:tcPr>
            <w:tcW w:w="4876" w:type="dxa"/>
          </w:tcPr>
          <w:p w14:paraId="4EA7E6F2" w14:textId="77777777" w:rsidR="003B40DD" w:rsidRPr="005B3ABD" w:rsidRDefault="003B40DD" w:rsidP="00882D36">
            <w:pPr>
              <w:pStyle w:val="Normal6"/>
              <w:rPr>
                <w:szCs w:val="24"/>
              </w:rPr>
            </w:pPr>
            <w:r w:rsidRPr="005B3ABD">
              <w:rPr>
                <w:b/>
                <w:i/>
              </w:rPr>
              <w:t>(33 b)</w:t>
            </w:r>
            <w:r w:rsidRPr="005B3ABD">
              <w:rPr>
                <w:b/>
                <w:i/>
              </w:rPr>
              <w:tab/>
              <w:t>Annex XII deleted</w:t>
            </w:r>
          </w:p>
        </w:tc>
      </w:tr>
    </w:tbl>
    <w:p w14:paraId="1758582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339C879"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4ACCA5AB" w14:textId="77777777" w:rsidR="003B40DD" w:rsidRPr="005B3ABD" w:rsidRDefault="003B40DD" w:rsidP="003B40DD">
      <w:pPr>
        <w:pStyle w:val="Normal12Italic"/>
      </w:pPr>
      <w:r w:rsidRPr="005B3ABD">
        <w:t>The sugar quotas were lifted. The Commission failed to delete Annex 12.</w:t>
      </w:r>
    </w:p>
    <w:p w14:paraId="27FC778D" w14:textId="77777777" w:rsidR="003B40DD" w:rsidRPr="005B3ABD" w:rsidRDefault="003B40DD" w:rsidP="003B40DD">
      <w:r w:rsidRPr="005B3ABD">
        <w:rPr>
          <w:rStyle w:val="HideTWBExt"/>
          <w:noProof w:val="0"/>
          <w:color w:val="auto"/>
        </w:rPr>
        <w:t>&lt;/Amend&gt;</w:t>
      </w:r>
    </w:p>
    <w:p w14:paraId="2866DB45"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95</w:t>
      </w:r>
      <w:r w:rsidRPr="005B3ABD">
        <w:rPr>
          <w:rStyle w:val="HideTWBExt"/>
          <w:b w:val="0"/>
          <w:noProof w:val="0"/>
          <w:color w:val="auto"/>
        </w:rPr>
        <w:t>&lt;/NumAm&gt;</w:t>
      </w:r>
    </w:p>
    <w:p w14:paraId="0CF6A13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6C926DF9" w14:textId="77777777" w:rsidR="003B40DD" w:rsidRPr="005B3ABD" w:rsidRDefault="003B40DD" w:rsidP="003B40DD">
      <w:pPr>
        <w:pStyle w:val="NormalBold"/>
      </w:pPr>
      <w:r w:rsidRPr="005B3ABD">
        <w:rPr>
          <w:rStyle w:val="HideTWBExt"/>
          <w:b w:val="0"/>
          <w:noProof w:val="0"/>
          <w:color w:val="auto"/>
        </w:rPr>
        <w:t>&lt;Article&gt;</w:t>
      </w:r>
      <w:r w:rsidRPr="005B3ABD">
        <w:t>Article 1 – paragraph 1 – point 33 c (new)</w:t>
      </w:r>
      <w:r w:rsidRPr="005B3ABD">
        <w:rPr>
          <w:rStyle w:val="HideTWBExt"/>
          <w:b w:val="0"/>
          <w:noProof w:val="0"/>
          <w:color w:val="auto"/>
        </w:rPr>
        <w:t>&lt;/Article&gt;</w:t>
      </w:r>
    </w:p>
    <w:p w14:paraId="4891EADC" w14:textId="77777777" w:rsidR="003B40DD" w:rsidRPr="005B3ABD" w:rsidRDefault="003B40DD" w:rsidP="003B40DD">
      <w:pPr>
        <w:keepNext/>
      </w:pPr>
      <w:r w:rsidRPr="005B3ABD">
        <w:rPr>
          <w:rStyle w:val="HideTWBExt"/>
          <w:noProof w:val="0"/>
          <w:color w:val="auto"/>
        </w:rPr>
        <w:t>&lt;DocAmend2&gt;</w:t>
      </w:r>
      <w:r w:rsidRPr="005B3ABD">
        <w:t>Regulation (EU) No 1308/2013</w:t>
      </w:r>
      <w:r w:rsidRPr="005B3ABD">
        <w:rPr>
          <w:rStyle w:val="HideTWBExt"/>
          <w:noProof w:val="0"/>
          <w:color w:val="auto"/>
        </w:rPr>
        <w:t>&lt;/DocAmend2&gt;</w:t>
      </w:r>
    </w:p>
    <w:p w14:paraId="20EBC813" w14:textId="77777777" w:rsidR="003B40DD" w:rsidRPr="005B3ABD" w:rsidRDefault="003B40DD" w:rsidP="003B40DD">
      <w:r w:rsidRPr="005B3ABD">
        <w:rPr>
          <w:rStyle w:val="HideTWBExt"/>
          <w:noProof w:val="0"/>
          <w:color w:val="auto"/>
        </w:rPr>
        <w:t>&lt;Article2&gt;</w:t>
      </w:r>
      <w:r w:rsidRPr="005B3ABD">
        <w:t>Annex XIII</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4E94109" w14:textId="77777777" w:rsidTr="00882D36">
        <w:trPr>
          <w:jc w:val="center"/>
        </w:trPr>
        <w:tc>
          <w:tcPr>
            <w:tcW w:w="9752" w:type="dxa"/>
            <w:gridSpan w:val="2"/>
          </w:tcPr>
          <w:p w14:paraId="106745B1" w14:textId="77777777" w:rsidR="003B40DD" w:rsidRPr="005B3ABD" w:rsidRDefault="003B40DD" w:rsidP="00882D36">
            <w:pPr>
              <w:keepNext/>
            </w:pPr>
          </w:p>
        </w:tc>
      </w:tr>
      <w:tr w:rsidR="003B40DD" w:rsidRPr="005B3ABD" w14:paraId="5A6B6F20" w14:textId="77777777" w:rsidTr="00882D36">
        <w:trPr>
          <w:jc w:val="center"/>
        </w:trPr>
        <w:tc>
          <w:tcPr>
            <w:tcW w:w="4876" w:type="dxa"/>
          </w:tcPr>
          <w:p w14:paraId="6370D6C6" w14:textId="77777777" w:rsidR="003B40DD" w:rsidRPr="005B3ABD" w:rsidRDefault="003B40DD" w:rsidP="00882D36">
            <w:pPr>
              <w:pStyle w:val="ColumnHeading"/>
              <w:keepNext/>
              <w:rPr>
                <w:color w:val="0000FA"/>
              </w:rPr>
            </w:pPr>
            <w:r w:rsidRPr="005B3ABD">
              <w:t>Text proposed by the Commission</w:t>
            </w:r>
          </w:p>
        </w:tc>
        <w:tc>
          <w:tcPr>
            <w:tcW w:w="4876" w:type="dxa"/>
          </w:tcPr>
          <w:p w14:paraId="7AEC6855" w14:textId="77777777" w:rsidR="003B40DD" w:rsidRPr="005B3ABD" w:rsidRDefault="003B40DD" w:rsidP="00882D36">
            <w:pPr>
              <w:pStyle w:val="ColumnHeading"/>
              <w:keepNext/>
              <w:rPr>
                <w:color w:val="0000F5"/>
              </w:rPr>
            </w:pPr>
            <w:r w:rsidRPr="005B3ABD">
              <w:t>Amendment</w:t>
            </w:r>
          </w:p>
        </w:tc>
      </w:tr>
      <w:tr w:rsidR="003B40DD" w:rsidRPr="005B3ABD" w14:paraId="5CC34561" w14:textId="77777777" w:rsidTr="00882D36">
        <w:trPr>
          <w:jc w:val="center"/>
        </w:trPr>
        <w:tc>
          <w:tcPr>
            <w:tcW w:w="4876" w:type="dxa"/>
          </w:tcPr>
          <w:p w14:paraId="66930E57" w14:textId="77777777" w:rsidR="003B40DD" w:rsidRPr="005B3ABD" w:rsidRDefault="003B40DD" w:rsidP="00882D36">
            <w:pPr>
              <w:pStyle w:val="Normal6"/>
              <w:rPr>
                <w:color w:val="0000FA"/>
              </w:rPr>
            </w:pPr>
          </w:p>
        </w:tc>
        <w:tc>
          <w:tcPr>
            <w:tcW w:w="4876" w:type="dxa"/>
          </w:tcPr>
          <w:p w14:paraId="329A1924" w14:textId="77777777" w:rsidR="003B40DD" w:rsidRPr="005B3ABD" w:rsidRDefault="003B40DD" w:rsidP="00882D36">
            <w:pPr>
              <w:pStyle w:val="Normal6"/>
              <w:rPr>
                <w:szCs w:val="24"/>
              </w:rPr>
            </w:pPr>
            <w:r w:rsidRPr="005B3ABD">
              <w:rPr>
                <w:b/>
                <w:i/>
              </w:rPr>
              <w:t>(33 c)</w:t>
            </w:r>
            <w:r w:rsidRPr="005B3ABD">
              <w:rPr>
                <w:b/>
                <w:i/>
              </w:rPr>
              <w:tab/>
              <w:t>Annex XIII deleted</w:t>
            </w:r>
          </w:p>
        </w:tc>
      </w:tr>
    </w:tbl>
    <w:p w14:paraId="4A49892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21EB09A"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E69AFDA" w14:textId="77777777" w:rsidR="003B40DD" w:rsidRPr="005B3ABD" w:rsidRDefault="003B40DD" w:rsidP="003B40DD">
      <w:pPr>
        <w:pStyle w:val="Normal12Italic"/>
      </w:pPr>
      <w:r w:rsidRPr="005B3ABD">
        <w:t>The sugar quotas were lifted. The Commission failed to delete Annex 13.</w:t>
      </w:r>
    </w:p>
    <w:p w14:paraId="678C28F8" w14:textId="77777777" w:rsidR="003B40DD" w:rsidRPr="005B3ABD" w:rsidRDefault="003B40DD" w:rsidP="003B40DD">
      <w:r w:rsidRPr="005B3ABD">
        <w:rPr>
          <w:rStyle w:val="HideTWBExt"/>
          <w:noProof w:val="0"/>
          <w:color w:val="auto"/>
        </w:rPr>
        <w:t>&lt;/Amend&gt;</w:t>
      </w:r>
    </w:p>
    <w:p w14:paraId="7EA0DE9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96</w:t>
      </w:r>
      <w:r w:rsidRPr="005B3ABD">
        <w:rPr>
          <w:rStyle w:val="HideTWBExt"/>
          <w:b w:val="0"/>
          <w:noProof w:val="0"/>
          <w:color w:val="auto"/>
        </w:rPr>
        <w:t>&lt;/NumAm&gt;</w:t>
      </w:r>
    </w:p>
    <w:p w14:paraId="7C89073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FE7F067" w14:textId="77777777" w:rsidR="003B40DD" w:rsidRPr="005B3ABD" w:rsidRDefault="003B40DD" w:rsidP="003B40DD">
      <w:pPr>
        <w:pStyle w:val="NormalBold"/>
      </w:pPr>
      <w:r w:rsidRPr="005B3ABD">
        <w:rPr>
          <w:rStyle w:val="HideTWBExt"/>
          <w:b w:val="0"/>
          <w:noProof w:val="0"/>
          <w:color w:val="auto"/>
        </w:rPr>
        <w:t>&lt;Article&gt;</w:t>
      </w:r>
      <w:r w:rsidRPr="005B3ABD">
        <w:t>Article 2 – paragraph 1 – point 2</w:t>
      </w:r>
      <w:r w:rsidRPr="005B3ABD">
        <w:rPr>
          <w:rStyle w:val="HideTWBExt"/>
          <w:b w:val="0"/>
          <w:noProof w:val="0"/>
          <w:color w:val="auto"/>
        </w:rPr>
        <w:t>&lt;/Article&gt;</w:t>
      </w:r>
    </w:p>
    <w:p w14:paraId="6FFE6446" w14:textId="77777777" w:rsidR="003B40DD" w:rsidRPr="005B3ABD" w:rsidRDefault="003B40DD" w:rsidP="003B40DD">
      <w:pPr>
        <w:keepNext/>
      </w:pPr>
      <w:r w:rsidRPr="005B3ABD">
        <w:rPr>
          <w:rStyle w:val="HideTWBExt"/>
          <w:noProof w:val="0"/>
          <w:color w:val="auto"/>
        </w:rPr>
        <w:t>&lt;DocAmend2&gt;</w:t>
      </w:r>
      <w:r w:rsidRPr="005B3ABD">
        <w:t>Regulation (EU) No 1151/2012</w:t>
      </w:r>
      <w:r w:rsidRPr="005B3ABD">
        <w:rPr>
          <w:rStyle w:val="HideTWBExt"/>
          <w:noProof w:val="0"/>
          <w:color w:val="auto"/>
        </w:rPr>
        <w:t>&lt;/DocAmend2&gt;</w:t>
      </w:r>
    </w:p>
    <w:p w14:paraId="0D59CEDD" w14:textId="77777777" w:rsidR="003B40DD" w:rsidRPr="005B3ABD" w:rsidRDefault="003B40DD" w:rsidP="003B40DD">
      <w:r w:rsidRPr="005B3ABD">
        <w:rPr>
          <w:rStyle w:val="HideTWBExt"/>
          <w:noProof w:val="0"/>
          <w:color w:val="auto"/>
        </w:rPr>
        <w:t>&lt;Article2&gt;</w:t>
      </w:r>
      <w:r w:rsidRPr="005B3ABD">
        <w:t>Article 5 – paragraph 1 – point b</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42D530DB" w14:textId="77777777" w:rsidTr="00882D36">
        <w:trPr>
          <w:jc w:val="center"/>
        </w:trPr>
        <w:tc>
          <w:tcPr>
            <w:tcW w:w="9752" w:type="dxa"/>
            <w:gridSpan w:val="2"/>
          </w:tcPr>
          <w:p w14:paraId="4961AA75" w14:textId="77777777" w:rsidR="003B40DD" w:rsidRPr="005B3ABD" w:rsidRDefault="003B40DD" w:rsidP="00882D36">
            <w:pPr>
              <w:keepNext/>
            </w:pPr>
          </w:p>
        </w:tc>
      </w:tr>
      <w:tr w:rsidR="003B40DD" w:rsidRPr="005B3ABD" w14:paraId="640C032E" w14:textId="77777777" w:rsidTr="00882D36">
        <w:trPr>
          <w:jc w:val="center"/>
        </w:trPr>
        <w:tc>
          <w:tcPr>
            <w:tcW w:w="4876" w:type="dxa"/>
          </w:tcPr>
          <w:p w14:paraId="07C0200C" w14:textId="77777777" w:rsidR="003B40DD" w:rsidRPr="005B3ABD" w:rsidRDefault="003B40DD" w:rsidP="00882D36">
            <w:pPr>
              <w:pStyle w:val="ColumnHeading"/>
              <w:keepNext/>
              <w:rPr>
                <w:color w:val="0000FA"/>
              </w:rPr>
            </w:pPr>
            <w:r w:rsidRPr="005B3ABD">
              <w:t>Text proposed by the Commission</w:t>
            </w:r>
          </w:p>
        </w:tc>
        <w:tc>
          <w:tcPr>
            <w:tcW w:w="4876" w:type="dxa"/>
          </w:tcPr>
          <w:p w14:paraId="709A21B5" w14:textId="77777777" w:rsidR="003B40DD" w:rsidRPr="005B3ABD" w:rsidRDefault="003B40DD" w:rsidP="00882D36">
            <w:pPr>
              <w:pStyle w:val="ColumnHeading"/>
              <w:keepNext/>
              <w:rPr>
                <w:color w:val="0000F5"/>
              </w:rPr>
            </w:pPr>
            <w:r w:rsidRPr="005B3ABD">
              <w:t>Amendment</w:t>
            </w:r>
          </w:p>
        </w:tc>
      </w:tr>
      <w:tr w:rsidR="003B40DD" w:rsidRPr="005B3ABD" w14:paraId="1AB2D887" w14:textId="77777777" w:rsidTr="00882D36">
        <w:trPr>
          <w:jc w:val="center"/>
        </w:trPr>
        <w:tc>
          <w:tcPr>
            <w:tcW w:w="4876" w:type="dxa"/>
          </w:tcPr>
          <w:p w14:paraId="3BE2E13D" w14:textId="77777777" w:rsidR="003B40DD" w:rsidRPr="005B3ABD" w:rsidRDefault="003B40DD" w:rsidP="00882D36">
            <w:pPr>
              <w:pStyle w:val="Normal6"/>
              <w:rPr>
                <w:color w:val="0000FA"/>
              </w:rPr>
            </w:pPr>
            <w:r w:rsidRPr="005B3ABD">
              <w:t>(b)</w:t>
            </w:r>
            <w:r w:rsidRPr="005B3ABD">
              <w:tab/>
              <w:t xml:space="preserve">whose quality or characteristics are essentially or exclusively due to a particular geographical environment, with its </w:t>
            </w:r>
            <w:r w:rsidRPr="005B3ABD">
              <w:rPr>
                <w:b/>
                <w:bCs/>
                <w:i/>
                <w:iCs/>
              </w:rPr>
              <w:t>inherent</w:t>
            </w:r>
            <w:r w:rsidRPr="005B3ABD">
              <w:t xml:space="preserve"> natural factors and, </w:t>
            </w:r>
            <w:r w:rsidRPr="005B3ABD">
              <w:rPr>
                <w:b/>
                <w:bCs/>
                <w:i/>
                <w:iCs/>
              </w:rPr>
              <w:t>where relevant,</w:t>
            </w:r>
            <w:r w:rsidRPr="005B3ABD">
              <w:t xml:space="preserve"> human factors</w:t>
            </w:r>
            <w:r w:rsidRPr="005B3ABD">
              <w:rPr>
                <w:b/>
                <w:bCs/>
                <w:i/>
                <w:iCs/>
              </w:rPr>
              <w:t>;</w:t>
            </w:r>
          </w:p>
        </w:tc>
        <w:tc>
          <w:tcPr>
            <w:tcW w:w="4876" w:type="dxa"/>
          </w:tcPr>
          <w:p w14:paraId="09E7BFB9" w14:textId="77777777" w:rsidR="003B40DD" w:rsidRPr="005B3ABD" w:rsidRDefault="003B40DD" w:rsidP="00882D36">
            <w:pPr>
              <w:pStyle w:val="Normal6"/>
              <w:rPr>
                <w:szCs w:val="24"/>
              </w:rPr>
            </w:pPr>
            <w:r w:rsidRPr="005B3ABD">
              <w:t>(b)</w:t>
            </w:r>
            <w:r w:rsidRPr="005B3ABD">
              <w:tab/>
              <w:t>whose quality or characteristics are essentially or exclusively due to a particular geographical environment, with its natural and human factors</w:t>
            </w:r>
            <w:r w:rsidRPr="005B3ABD">
              <w:rPr>
                <w:b/>
                <w:bCs/>
                <w:i/>
                <w:iCs/>
              </w:rPr>
              <w:t>.</w:t>
            </w:r>
          </w:p>
        </w:tc>
      </w:tr>
    </w:tbl>
    <w:p w14:paraId="5A296EF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2939F61"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455F9F1" w14:textId="77777777" w:rsidR="003B40DD" w:rsidRPr="005B3ABD" w:rsidRDefault="003B40DD" w:rsidP="003B40DD">
      <w:pPr>
        <w:pStyle w:val="Normal12Italic"/>
      </w:pPr>
      <w:r w:rsidRPr="005B3ABD">
        <w:t>This amendment calls for the definition of designation of origin to be maintained by adapting it to the Lisbon Agreement. Human factors are indeed essential in the characterisation of a product with a protected designation of origin. Alleviating the human factors would moreover affect the protection of products at international level where opponents will often evoke similarities in the natural and geographical environment to undermine the specificity of designations of origin.</w:t>
      </w:r>
    </w:p>
    <w:p w14:paraId="21628B1D" w14:textId="77777777" w:rsidR="003B40DD" w:rsidRPr="005B3ABD" w:rsidRDefault="003B40DD" w:rsidP="003B40DD">
      <w:r w:rsidRPr="005B3ABD">
        <w:rPr>
          <w:rStyle w:val="HideTWBExt"/>
          <w:noProof w:val="0"/>
          <w:color w:val="auto"/>
        </w:rPr>
        <w:lastRenderedPageBreak/>
        <w:t>&lt;/Amend&gt;</w:t>
      </w:r>
    </w:p>
    <w:p w14:paraId="6EF08AF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97</w:t>
      </w:r>
      <w:r w:rsidRPr="005B3ABD">
        <w:rPr>
          <w:rStyle w:val="HideTWBExt"/>
          <w:b w:val="0"/>
          <w:noProof w:val="0"/>
          <w:color w:val="auto"/>
        </w:rPr>
        <w:t>&lt;/NumAm&gt;</w:t>
      </w:r>
    </w:p>
    <w:p w14:paraId="1D10CFD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9036E43" w14:textId="77777777" w:rsidR="003B40DD" w:rsidRPr="005B3ABD" w:rsidRDefault="003B40DD" w:rsidP="003B40DD">
      <w:pPr>
        <w:pStyle w:val="NormalBold"/>
      </w:pPr>
      <w:r w:rsidRPr="005B3ABD">
        <w:rPr>
          <w:rStyle w:val="HideTWBExt"/>
          <w:b w:val="0"/>
          <w:noProof w:val="0"/>
          <w:color w:val="auto"/>
        </w:rPr>
        <w:t>&lt;Article&gt;</w:t>
      </w:r>
      <w:r w:rsidRPr="005B3ABD">
        <w:t>Article 2 – paragraph 1 – point 3</w:t>
      </w:r>
      <w:r w:rsidRPr="005B3ABD">
        <w:rPr>
          <w:rStyle w:val="HideTWBExt"/>
          <w:b w:val="0"/>
          <w:noProof w:val="0"/>
          <w:color w:val="auto"/>
        </w:rPr>
        <w:t>&lt;/Article&gt;</w:t>
      </w:r>
    </w:p>
    <w:p w14:paraId="03A9C86D" w14:textId="77777777" w:rsidR="003B40DD" w:rsidRPr="005B3ABD" w:rsidRDefault="003B40DD" w:rsidP="003B40DD">
      <w:pPr>
        <w:keepNext/>
      </w:pPr>
      <w:r w:rsidRPr="005B3ABD">
        <w:rPr>
          <w:rStyle w:val="HideTWBExt"/>
          <w:noProof w:val="0"/>
          <w:color w:val="auto"/>
        </w:rPr>
        <w:t>&lt;DocAmend2&gt;</w:t>
      </w:r>
      <w:r w:rsidRPr="005B3ABD">
        <w:t>Regulation (EU) No 1151/2012</w:t>
      </w:r>
      <w:r w:rsidRPr="005B3ABD">
        <w:rPr>
          <w:rStyle w:val="HideTWBExt"/>
          <w:noProof w:val="0"/>
          <w:color w:val="auto"/>
        </w:rPr>
        <w:t>&lt;/DocAmend2&gt;</w:t>
      </w:r>
    </w:p>
    <w:p w14:paraId="237AA709" w14:textId="77777777" w:rsidR="003B40DD" w:rsidRPr="005B3ABD" w:rsidRDefault="003B40DD" w:rsidP="003B40DD">
      <w:r w:rsidRPr="005B3ABD">
        <w:rPr>
          <w:rStyle w:val="HideTWBExt"/>
          <w:noProof w:val="0"/>
          <w:color w:val="auto"/>
        </w:rPr>
        <w:t>&lt;Article2&gt;</w:t>
      </w:r>
      <w:r w:rsidRPr="005B3ABD">
        <w:t>Article 7 – paragraph 1 – point d</w:t>
      </w:r>
      <w:r w:rsidRPr="005B3AB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9362E72" w14:textId="77777777" w:rsidTr="00882D36">
        <w:trPr>
          <w:jc w:val="center"/>
        </w:trPr>
        <w:tc>
          <w:tcPr>
            <w:tcW w:w="9752" w:type="dxa"/>
            <w:gridSpan w:val="2"/>
          </w:tcPr>
          <w:p w14:paraId="3366C8E8" w14:textId="77777777" w:rsidR="003B40DD" w:rsidRPr="005B3ABD" w:rsidRDefault="003B40DD" w:rsidP="00882D36">
            <w:pPr>
              <w:keepNext/>
            </w:pPr>
          </w:p>
        </w:tc>
      </w:tr>
      <w:tr w:rsidR="003B40DD" w:rsidRPr="005B3ABD" w14:paraId="185ED236" w14:textId="77777777" w:rsidTr="00882D36">
        <w:trPr>
          <w:jc w:val="center"/>
        </w:trPr>
        <w:tc>
          <w:tcPr>
            <w:tcW w:w="4876" w:type="dxa"/>
          </w:tcPr>
          <w:p w14:paraId="7EA08DCC" w14:textId="77777777" w:rsidR="003B40DD" w:rsidRPr="005B3ABD" w:rsidRDefault="003B40DD" w:rsidP="00882D36">
            <w:pPr>
              <w:pStyle w:val="ColumnHeading"/>
              <w:keepNext/>
              <w:rPr>
                <w:color w:val="0000FA"/>
              </w:rPr>
            </w:pPr>
            <w:r w:rsidRPr="005B3ABD">
              <w:t>Text proposed by the Commission</w:t>
            </w:r>
          </w:p>
        </w:tc>
        <w:tc>
          <w:tcPr>
            <w:tcW w:w="4876" w:type="dxa"/>
          </w:tcPr>
          <w:p w14:paraId="706CC8C3" w14:textId="77777777" w:rsidR="003B40DD" w:rsidRPr="005B3ABD" w:rsidRDefault="003B40DD" w:rsidP="00882D36">
            <w:pPr>
              <w:pStyle w:val="ColumnHeading"/>
              <w:keepNext/>
              <w:rPr>
                <w:color w:val="0000F5"/>
              </w:rPr>
            </w:pPr>
            <w:r w:rsidRPr="005B3ABD">
              <w:t>Amendment</w:t>
            </w:r>
          </w:p>
        </w:tc>
      </w:tr>
      <w:tr w:rsidR="003B40DD" w:rsidRPr="005B3ABD" w14:paraId="51299A8F" w14:textId="77777777" w:rsidTr="00882D36">
        <w:trPr>
          <w:jc w:val="center"/>
        </w:trPr>
        <w:tc>
          <w:tcPr>
            <w:tcW w:w="4876" w:type="dxa"/>
          </w:tcPr>
          <w:p w14:paraId="08B30E5A" w14:textId="77777777" w:rsidR="003B40DD" w:rsidRPr="005B3ABD" w:rsidRDefault="003B40DD" w:rsidP="00882D36">
            <w:pPr>
              <w:pStyle w:val="Normal6"/>
              <w:rPr>
                <w:color w:val="0000FA"/>
              </w:rPr>
            </w:pPr>
            <w:r w:rsidRPr="005B3ABD">
              <w:t>(3)</w:t>
            </w:r>
            <w:r w:rsidRPr="005B3ABD">
              <w:tab/>
              <w:t xml:space="preserve">in Article 7(1), point (d)shall be </w:t>
            </w:r>
            <w:r w:rsidRPr="005B3ABD">
              <w:rPr>
                <w:b/>
                <w:bCs/>
                <w:i/>
                <w:iCs/>
              </w:rPr>
              <w:t>deleted;</w:t>
            </w:r>
            <w:r w:rsidRPr="005B3ABD">
              <w:t xml:space="preserve"> </w:t>
            </w:r>
          </w:p>
        </w:tc>
        <w:tc>
          <w:tcPr>
            <w:tcW w:w="4876" w:type="dxa"/>
          </w:tcPr>
          <w:p w14:paraId="583A5707" w14:textId="77777777" w:rsidR="003B40DD" w:rsidRPr="005B3ABD" w:rsidRDefault="003B40DD" w:rsidP="00882D36">
            <w:pPr>
              <w:pStyle w:val="Normal6"/>
              <w:rPr>
                <w:color w:val="000005"/>
                <w:szCs w:val="24"/>
              </w:rPr>
            </w:pPr>
            <w:r w:rsidRPr="005B3ABD">
              <w:t>3)</w:t>
            </w:r>
            <w:r w:rsidRPr="005B3ABD">
              <w:tab/>
              <w:t xml:space="preserve">in Article 7(1), point (d)shall be </w:t>
            </w:r>
            <w:r w:rsidRPr="005B3ABD">
              <w:rPr>
                <w:b/>
                <w:bCs/>
                <w:i/>
                <w:iCs/>
              </w:rPr>
              <w:t>replaced by the following:</w:t>
            </w:r>
          </w:p>
        </w:tc>
      </w:tr>
      <w:tr w:rsidR="003B40DD" w:rsidRPr="005B3ABD" w14:paraId="690096A4" w14:textId="77777777" w:rsidTr="00882D36">
        <w:trPr>
          <w:jc w:val="center"/>
        </w:trPr>
        <w:tc>
          <w:tcPr>
            <w:tcW w:w="4876" w:type="dxa"/>
          </w:tcPr>
          <w:p w14:paraId="441B32D2" w14:textId="77777777" w:rsidR="003B40DD" w:rsidRPr="005B3ABD" w:rsidRDefault="003B40DD" w:rsidP="00882D36">
            <w:pPr>
              <w:pStyle w:val="Normal6"/>
              <w:rPr>
                <w:color w:val="0000FA"/>
              </w:rPr>
            </w:pPr>
          </w:p>
        </w:tc>
        <w:tc>
          <w:tcPr>
            <w:tcW w:w="4876" w:type="dxa"/>
          </w:tcPr>
          <w:p w14:paraId="62797815" w14:textId="77777777" w:rsidR="003B40DD" w:rsidRPr="005B3ABD" w:rsidRDefault="003B40DD" w:rsidP="00882D36">
            <w:pPr>
              <w:pStyle w:val="Normal6"/>
              <w:rPr>
                <w:b/>
                <w:i/>
                <w:szCs w:val="24"/>
              </w:rPr>
            </w:pPr>
            <w:r w:rsidRPr="005B3ABD">
              <w:rPr>
                <w:b/>
                <w:i/>
              </w:rPr>
              <w:t xml:space="preserve">“(d) evidence of traceability proving that the product originates in the defined geographical area referred to in Article 5(1) or (2);” </w:t>
            </w:r>
          </w:p>
        </w:tc>
      </w:tr>
    </w:tbl>
    <w:p w14:paraId="56A009B0"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4A0854B" w14:textId="77777777" w:rsidR="003B40DD" w:rsidRPr="005B3ABD" w:rsidRDefault="003B40DD" w:rsidP="003B40DD">
      <w:pPr>
        <w:pStyle w:val="CrossRef"/>
      </w:pPr>
      <w:r w:rsidRPr="005B3ABD">
        <w:t>(https://eur-lex.europa.eu/legal-content/EN/TXT/?uri=CELEX:32012R1151)</w:t>
      </w:r>
    </w:p>
    <w:p w14:paraId="2D267EB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8D7FE9C" w14:textId="77777777" w:rsidR="003B40DD" w:rsidRPr="005B3ABD" w:rsidRDefault="003B40DD" w:rsidP="003B40DD">
      <w:pPr>
        <w:pStyle w:val="Normal12Italic"/>
      </w:pPr>
      <w:r w:rsidRPr="005B3ABD">
        <w:t>The current formulation of (d) of the definition of geographical area included in the product specifications is ambiguous; it is proposed to modify it slightly by putting the accent on the traceability of the product with a protected designation of origin or protected geographical indication.</w:t>
      </w:r>
    </w:p>
    <w:p w14:paraId="514F6F20" w14:textId="77777777" w:rsidR="003B40DD" w:rsidRPr="005B3ABD" w:rsidRDefault="003B40DD" w:rsidP="003B40DD">
      <w:r w:rsidRPr="005B3ABD">
        <w:rPr>
          <w:rStyle w:val="HideTWBExt"/>
          <w:noProof w:val="0"/>
          <w:color w:val="auto"/>
        </w:rPr>
        <w:t>&lt;/Amend&gt;</w:t>
      </w:r>
    </w:p>
    <w:p w14:paraId="40EC1AFA"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98</w:t>
      </w:r>
      <w:r w:rsidRPr="005B3ABD">
        <w:rPr>
          <w:rStyle w:val="HideTWBExt"/>
          <w:b w:val="0"/>
          <w:noProof w:val="0"/>
          <w:color w:val="auto"/>
        </w:rPr>
        <w:t>&lt;/NumAm&gt;</w:t>
      </w:r>
    </w:p>
    <w:p w14:paraId="3CD3D2C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2549A343" w14:textId="77777777" w:rsidR="003B40DD" w:rsidRPr="005B3ABD" w:rsidRDefault="003B40DD" w:rsidP="003B40DD">
      <w:pPr>
        <w:pStyle w:val="NormalBold"/>
      </w:pPr>
      <w:r w:rsidRPr="005B3ABD">
        <w:rPr>
          <w:rStyle w:val="HideTWBExt"/>
          <w:b w:val="0"/>
          <w:noProof w:val="0"/>
          <w:color w:val="auto"/>
        </w:rPr>
        <w:t>&lt;Article&gt;</w:t>
      </w:r>
      <w:r w:rsidRPr="005B3ABD">
        <w:t>Article 2 – paragraph 1 – point 6 – point b</w:t>
      </w:r>
      <w:r w:rsidRPr="005B3ABD">
        <w:rPr>
          <w:rStyle w:val="HideTWBExt"/>
          <w:b w:val="0"/>
          <w:noProof w:val="0"/>
          <w:color w:val="auto"/>
        </w:rPr>
        <w:t>&lt;/Article&gt;</w:t>
      </w:r>
    </w:p>
    <w:p w14:paraId="15091710" w14:textId="77777777" w:rsidR="003B40DD" w:rsidRPr="005B3ABD" w:rsidRDefault="003B40DD" w:rsidP="003B40DD">
      <w:pPr>
        <w:keepNext/>
      </w:pPr>
      <w:r w:rsidRPr="005B3ABD">
        <w:rPr>
          <w:rStyle w:val="HideTWBExt"/>
          <w:noProof w:val="0"/>
          <w:color w:val="auto"/>
        </w:rPr>
        <w:t>&lt;DocAmend2&gt;</w:t>
      </w:r>
      <w:r w:rsidRPr="005B3ABD">
        <w:t>Regulation (EU) No 1151/2012</w:t>
      </w:r>
      <w:r w:rsidRPr="005B3ABD">
        <w:rPr>
          <w:rStyle w:val="HideTWBExt"/>
          <w:noProof w:val="0"/>
          <w:color w:val="auto"/>
        </w:rPr>
        <w:t>&lt;/DocAmend2&gt;</w:t>
      </w:r>
    </w:p>
    <w:p w14:paraId="18C66C80" w14:textId="77777777" w:rsidR="003B40DD" w:rsidRPr="005B3ABD" w:rsidRDefault="003B40DD" w:rsidP="003B40DD">
      <w:r w:rsidRPr="005B3ABD">
        <w:rPr>
          <w:rStyle w:val="HideTWBExt"/>
          <w:noProof w:val="0"/>
          <w:color w:val="auto"/>
        </w:rPr>
        <w:t>&lt;Article2&gt;</w:t>
      </w:r>
      <w:r w:rsidRPr="005B3ABD">
        <w:t>Article 15 – paragraph 2 – introductory part</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361B7859" w14:textId="77777777" w:rsidTr="00882D36">
        <w:trPr>
          <w:jc w:val="center"/>
        </w:trPr>
        <w:tc>
          <w:tcPr>
            <w:tcW w:w="9752" w:type="dxa"/>
            <w:gridSpan w:val="2"/>
          </w:tcPr>
          <w:p w14:paraId="0F3D1A02" w14:textId="77777777" w:rsidR="003B40DD" w:rsidRPr="005B3ABD" w:rsidRDefault="003B40DD" w:rsidP="00882D36">
            <w:pPr>
              <w:keepNext/>
            </w:pPr>
          </w:p>
        </w:tc>
      </w:tr>
      <w:tr w:rsidR="003B40DD" w:rsidRPr="005B3ABD" w14:paraId="753CC73D" w14:textId="77777777" w:rsidTr="00882D36">
        <w:trPr>
          <w:jc w:val="center"/>
        </w:trPr>
        <w:tc>
          <w:tcPr>
            <w:tcW w:w="4876" w:type="dxa"/>
          </w:tcPr>
          <w:p w14:paraId="56E4BBF5" w14:textId="77777777" w:rsidR="003B40DD" w:rsidRPr="005B3ABD" w:rsidRDefault="003B40DD" w:rsidP="00882D36">
            <w:pPr>
              <w:pStyle w:val="ColumnHeading"/>
              <w:keepNext/>
              <w:rPr>
                <w:color w:val="0000FA"/>
              </w:rPr>
            </w:pPr>
            <w:r w:rsidRPr="005B3ABD">
              <w:t>Text proposed by the Commission</w:t>
            </w:r>
          </w:p>
        </w:tc>
        <w:tc>
          <w:tcPr>
            <w:tcW w:w="4876" w:type="dxa"/>
          </w:tcPr>
          <w:p w14:paraId="200B86BD" w14:textId="77777777" w:rsidR="003B40DD" w:rsidRPr="005B3ABD" w:rsidRDefault="003B40DD" w:rsidP="00882D36">
            <w:pPr>
              <w:pStyle w:val="ColumnHeading"/>
              <w:keepNext/>
              <w:rPr>
                <w:color w:val="0000F5"/>
              </w:rPr>
            </w:pPr>
            <w:r w:rsidRPr="005B3ABD">
              <w:t>Amendment</w:t>
            </w:r>
          </w:p>
        </w:tc>
      </w:tr>
      <w:tr w:rsidR="003B40DD" w:rsidRPr="005B3ABD" w14:paraId="72F7DBDB" w14:textId="77777777" w:rsidTr="00882D36">
        <w:trPr>
          <w:jc w:val="center"/>
        </w:trPr>
        <w:tc>
          <w:tcPr>
            <w:tcW w:w="4876" w:type="dxa"/>
          </w:tcPr>
          <w:p w14:paraId="37B47369" w14:textId="77777777" w:rsidR="003B40DD" w:rsidRPr="005B3ABD" w:rsidRDefault="003B40DD" w:rsidP="00882D36">
            <w:pPr>
              <w:pStyle w:val="Normal6"/>
              <w:rPr>
                <w:b/>
                <w:i/>
                <w:color w:val="0000FA"/>
              </w:rPr>
            </w:pPr>
            <w:r w:rsidRPr="005B3ABD">
              <w:rPr>
                <w:b/>
                <w:i/>
              </w:rPr>
              <w:t xml:space="preserve">(b) in paragraph 2, the introductory wording is replaced by the following: </w:t>
            </w:r>
          </w:p>
        </w:tc>
        <w:tc>
          <w:tcPr>
            <w:tcW w:w="4876" w:type="dxa"/>
          </w:tcPr>
          <w:p w14:paraId="20BC4D8D" w14:textId="77777777" w:rsidR="003B40DD" w:rsidRPr="005B3ABD" w:rsidRDefault="003B40DD" w:rsidP="00882D36">
            <w:pPr>
              <w:pStyle w:val="Normal6"/>
              <w:rPr>
                <w:b/>
                <w:i/>
                <w:color w:val="000005"/>
              </w:rPr>
            </w:pPr>
            <w:r w:rsidRPr="005B3ABD">
              <w:rPr>
                <w:b/>
                <w:i/>
              </w:rPr>
              <w:t>deleted</w:t>
            </w:r>
          </w:p>
        </w:tc>
      </w:tr>
      <w:tr w:rsidR="003B40DD" w:rsidRPr="005B3ABD" w14:paraId="0B9B2E4B" w14:textId="77777777" w:rsidTr="00882D36">
        <w:trPr>
          <w:jc w:val="center"/>
        </w:trPr>
        <w:tc>
          <w:tcPr>
            <w:tcW w:w="4876" w:type="dxa"/>
          </w:tcPr>
          <w:p w14:paraId="29BA6542" w14:textId="77777777" w:rsidR="003B40DD" w:rsidRPr="005B3ABD" w:rsidRDefault="003B40DD" w:rsidP="00882D36">
            <w:pPr>
              <w:pStyle w:val="Normal6"/>
              <w:rPr>
                <w:color w:val="0000FA"/>
              </w:rPr>
            </w:pPr>
            <w:r w:rsidRPr="005B3ABD">
              <w:rPr>
                <w:b/>
                <w:i/>
              </w:rPr>
              <w:t>Without prejudice to Article 14, the Commission may adopt implementing acts extending the transitional period mentioned in paragraph 1 of this Article in justified cases where it is shown that:;</w:t>
            </w:r>
          </w:p>
        </w:tc>
        <w:tc>
          <w:tcPr>
            <w:tcW w:w="4876" w:type="dxa"/>
          </w:tcPr>
          <w:p w14:paraId="6ECB62D3" w14:textId="77777777" w:rsidR="003B40DD" w:rsidRPr="005B3ABD" w:rsidRDefault="003B40DD" w:rsidP="00882D36">
            <w:pPr>
              <w:pStyle w:val="Normal6"/>
              <w:rPr>
                <w:szCs w:val="24"/>
              </w:rPr>
            </w:pPr>
          </w:p>
        </w:tc>
      </w:tr>
    </w:tbl>
    <w:p w14:paraId="5B4BAD9D"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01504CFC" w14:textId="77777777" w:rsidR="003B40DD" w:rsidRPr="005B3ABD" w:rsidRDefault="003B40DD" w:rsidP="003B40DD">
      <w:pPr>
        <w:pStyle w:val="JustificationTitle"/>
      </w:pPr>
      <w:r w:rsidRPr="005B3ABD">
        <w:rPr>
          <w:rStyle w:val="HideTWBExt"/>
          <w:i w:val="0"/>
          <w:noProof w:val="0"/>
          <w:color w:val="auto"/>
        </w:rPr>
        <w:lastRenderedPageBreak/>
        <w:t>&lt;TitreJust&gt;</w:t>
      </w:r>
      <w:r w:rsidRPr="005B3ABD">
        <w:t>Justification</w:t>
      </w:r>
      <w:r w:rsidRPr="005B3ABD">
        <w:rPr>
          <w:rStyle w:val="HideTWBExt"/>
          <w:i w:val="0"/>
          <w:noProof w:val="0"/>
          <w:color w:val="auto"/>
        </w:rPr>
        <w:t>&lt;/TitreJust&gt;</w:t>
      </w:r>
    </w:p>
    <w:p w14:paraId="00A61713" w14:textId="77777777" w:rsidR="003B40DD" w:rsidRPr="005B3ABD" w:rsidRDefault="003B40DD" w:rsidP="003B40DD">
      <w:pPr>
        <w:pStyle w:val="Normal12Italic"/>
      </w:pPr>
      <w:r w:rsidRPr="005B3ABD">
        <w:t>This proposal from the Commission no longer to indicate a maximum duration for certain transitional periods weakens the protection of protected designations of origin or protected geographical indication. The absence of a time limit could lead to confusion among consumers and result in unfair treatment for producers.</w:t>
      </w:r>
    </w:p>
    <w:p w14:paraId="7ECFD7DE" w14:textId="77777777" w:rsidR="003B40DD" w:rsidRPr="005B3ABD" w:rsidRDefault="003B40DD" w:rsidP="003B40DD">
      <w:r w:rsidRPr="005B3ABD">
        <w:rPr>
          <w:rStyle w:val="HideTWBExt"/>
          <w:noProof w:val="0"/>
          <w:color w:val="auto"/>
        </w:rPr>
        <w:t>&lt;/Amend&gt;</w:t>
      </w:r>
    </w:p>
    <w:p w14:paraId="51547A32"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99</w:t>
      </w:r>
      <w:r w:rsidRPr="005B3ABD">
        <w:rPr>
          <w:rStyle w:val="HideTWBExt"/>
          <w:b w:val="0"/>
          <w:noProof w:val="0"/>
          <w:color w:val="auto"/>
        </w:rPr>
        <w:t>&lt;/NumAm&gt;</w:t>
      </w:r>
    </w:p>
    <w:p w14:paraId="30E09DFA"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4195ED5" w14:textId="77777777" w:rsidR="003B40DD" w:rsidRPr="005B3ABD" w:rsidRDefault="003B40DD" w:rsidP="003B40DD">
      <w:pPr>
        <w:pStyle w:val="NormalBold"/>
      </w:pPr>
      <w:r w:rsidRPr="005B3ABD">
        <w:rPr>
          <w:rStyle w:val="HideTWBExt"/>
          <w:b w:val="0"/>
          <w:noProof w:val="0"/>
          <w:color w:val="auto"/>
        </w:rPr>
        <w:t>&lt;Article&gt;</w:t>
      </w:r>
      <w:r w:rsidRPr="005B3ABD">
        <w:t>Article 4 – paragraph 1</w:t>
      </w:r>
      <w:r w:rsidRPr="005B3ABD">
        <w:rPr>
          <w:rStyle w:val="HideTWBExt"/>
          <w:b w:val="0"/>
          <w:noProof w:val="0"/>
          <w:color w:val="auto"/>
        </w:rPr>
        <w:t>&lt;/Article&gt;</w:t>
      </w:r>
    </w:p>
    <w:p w14:paraId="4C57D124" w14:textId="77777777" w:rsidR="003B40DD" w:rsidRPr="005B3ABD" w:rsidRDefault="003B40DD" w:rsidP="003B40DD">
      <w:pPr>
        <w:keepNext/>
      </w:pPr>
      <w:r w:rsidRPr="005B3ABD">
        <w:rPr>
          <w:rStyle w:val="HideTWBExt"/>
          <w:noProof w:val="0"/>
          <w:color w:val="auto"/>
        </w:rPr>
        <w:t>&lt;DocAmend2&gt;</w:t>
      </w:r>
      <w:r w:rsidRPr="005B3ABD">
        <w:t>Regulation (EU) No 228/2013</w:t>
      </w:r>
      <w:r w:rsidRPr="005B3ABD">
        <w:rPr>
          <w:rStyle w:val="HideTWBExt"/>
          <w:noProof w:val="0"/>
          <w:color w:val="auto"/>
        </w:rPr>
        <w:t>&lt;/DocAmend2&gt;</w:t>
      </w:r>
    </w:p>
    <w:p w14:paraId="5FFF4205" w14:textId="77777777" w:rsidR="003B40DD" w:rsidRPr="005B3ABD" w:rsidRDefault="003B40DD" w:rsidP="003B40DD">
      <w:r w:rsidRPr="005B3ABD">
        <w:rPr>
          <w:rStyle w:val="HideTWBExt"/>
          <w:noProof w:val="0"/>
          <w:color w:val="auto"/>
        </w:rPr>
        <w:t>&lt;Article2&gt;</w:t>
      </w:r>
      <w:r w:rsidRPr="005B3ABD">
        <w:t>Article 30 – paragraph 2 – indent 1</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7138D23" w14:textId="77777777" w:rsidTr="00882D36">
        <w:trPr>
          <w:jc w:val="center"/>
        </w:trPr>
        <w:tc>
          <w:tcPr>
            <w:tcW w:w="9752" w:type="dxa"/>
            <w:gridSpan w:val="2"/>
          </w:tcPr>
          <w:p w14:paraId="5E94A1E4" w14:textId="77777777" w:rsidR="003B40DD" w:rsidRPr="005B3ABD" w:rsidRDefault="003B40DD" w:rsidP="00882D36">
            <w:pPr>
              <w:keepNext/>
            </w:pPr>
          </w:p>
        </w:tc>
      </w:tr>
      <w:tr w:rsidR="003B40DD" w:rsidRPr="005B3ABD" w14:paraId="13694AF7" w14:textId="77777777" w:rsidTr="00882D36">
        <w:trPr>
          <w:jc w:val="center"/>
        </w:trPr>
        <w:tc>
          <w:tcPr>
            <w:tcW w:w="4876" w:type="dxa"/>
          </w:tcPr>
          <w:p w14:paraId="141A1B02" w14:textId="77777777" w:rsidR="003B40DD" w:rsidRPr="005B3ABD" w:rsidRDefault="003B40DD" w:rsidP="00882D36">
            <w:pPr>
              <w:pStyle w:val="ColumnHeading"/>
              <w:keepNext/>
              <w:rPr>
                <w:color w:val="0000FA"/>
              </w:rPr>
            </w:pPr>
            <w:r w:rsidRPr="005B3ABD">
              <w:t>Text proposed by the Commission</w:t>
            </w:r>
          </w:p>
        </w:tc>
        <w:tc>
          <w:tcPr>
            <w:tcW w:w="4876" w:type="dxa"/>
          </w:tcPr>
          <w:p w14:paraId="488AE468" w14:textId="77777777" w:rsidR="003B40DD" w:rsidRPr="005B3ABD" w:rsidRDefault="003B40DD" w:rsidP="00882D36">
            <w:pPr>
              <w:pStyle w:val="ColumnHeading"/>
              <w:keepNext/>
              <w:rPr>
                <w:color w:val="0000F5"/>
              </w:rPr>
            </w:pPr>
            <w:r w:rsidRPr="005B3ABD">
              <w:t>Amendment</w:t>
            </w:r>
          </w:p>
        </w:tc>
      </w:tr>
      <w:tr w:rsidR="003B40DD" w:rsidRPr="005B3ABD" w14:paraId="67537993" w14:textId="77777777" w:rsidTr="00882D36">
        <w:trPr>
          <w:jc w:val="center"/>
        </w:trPr>
        <w:tc>
          <w:tcPr>
            <w:tcW w:w="4876" w:type="dxa"/>
          </w:tcPr>
          <w:p w14:paraId="496DAFC2" w14:textId="77777777" w:rsidR="003B40DD" w:rsidRPr="005B3ABD" w:rsidRDefault="003B40DD" w:rsidP="00882D36">
            <w:pPr>
              <w:pStyle w:val="Normal6"/>
              <w:rPr>
                <w:color w:val="0000FA"/>
              </w:rPr>
            </w:pPr>
            <w:r w:rsidRPr="005B3ABD">
              <w:t>—</w:t>
            </w:r>
            <w:r w:rsidRPr="005B3ABD">
              <w:tab/>
              <w:t xml:space="preserve">in the French overseas departments: EUR </w:t>
            </w:r>
            <w:r w:rsidRPr="005B3ABD">
              <w:rPr>
                <w:b/>
                <w:bCs/>
                <w:i/>
                <w:iCs/>
              </w:rPr>
              <w:t>267 580 000</w:t>
            </w:r>
            <w:r w:rsidRPr="005B3ABD">
              <w:t>;</w:t>
            </w:r>
          </w:p>
        </w:tc>
        <w:tc>
          <w:tcPr>
            <w:tcW w:w="4876" w:type="dxa"/>
          </w:tcPr>
          <w:p w14:paraId="0FFC9100" w14:textId="77777777" w:rsidR="003B40DD" w:rsidRPr="005B3ABD" w:rsidRDefault="003B40DD" w:rsidP="00882D36">
            <w:pPr>
              <w:pStyle w:val="Normal6"/>
              <w:rPr>
                <w:szCs w:val="24"/>
              </w:rPr>
            </w:pPr>
            <w:r w:rsidRPr="005B3ABD">
              <w:t>—</w:t>
            </w:r>
            <w:r w:rsidRPr="005B3ABD">
              <w:tab/>
              <w:t xml:space="preserve">in the French overseas departments: EUR </w:t>
            </w:r>
            <w:r w:rsidRPr="005B3ABD">
              <w:rPr>
                <w:b/>
                <w:bCs/>
                <w:i/>
              </w:rPr>
              <w:t>278 410</w:t>
            </w:r>
            <w:r w:rsidRPr="005B3ABD">
              <w:rPr>
                <w:b/>
                <w:bCs/>
                <w:i/>
                <w:iCs/>
              </w:rPr>
              <w:t xml:space="preserve"> 000</w:t>
            </w:r>
            <w:r w:rsidRPr="005B3ABD">
              <w:t>;</w:t>
            </w:r>
          </w:p>
        </w:tc>
      </w:tr>
    </w:tbl>
    <w:p w14:paraId="086BEEAC"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FAFF009"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B9861EA" w14:textId="77777777" w:rsidR="003B40DD" w:rsidRPr="005B3ABD" w:rsidRDefault="003B40DD" w:rsidP="003B40DD">
      <w:pPr>
        <w:pStyle w:val="Normal12Italic"/>
      </w:pPr>
      <w:r w:rsidRPr="005B3ABD">
        <w:t>The amendment calls for the current envelope to be maintained.</w:t>
      </w:r>
    </w:p>
    <w:p w14:paraId="6FF0FCE9" w14:textId="77777777" w:rsidR="003B40DD" w:rsidRPr="005B3ABD" w:rsidRDefault="003B40DD" w:rsidP="003B40DD">
      <w:r w:rsidRPr="005B3ABD">
        <w:rPr>
          <w:rStyle w:val="HideTWBExt"/>
          <w:noProof w:val="0"/>
          <w:color w:val="auto"/>
        </w:rPr>
        <w:t>&lt;/Amend&gt;</w:t>
      </w:r>
    </w:p>
    <w:p w14:paraId="196AD1B0"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100</w:t>
      </w:r>
      <w:r w:rsidRPr="005B3ABD">
        <w:rPr>
          <w:rStyle w:val="HideTWBExt"/>
          <w:b w:val="0"/>
          <w:noProof w:val="0"/>
          <w:color w:val="auto"/>
        </w:rPr>
        <w:t>&lt;/NumAm&gt;</w:t>
      </w:r>
    </w:p>
    <w:p w14:paraId="31FB13BF"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083152D1" w14:textId="77777777" w:rsidR="003B40DD" w:rsidRPr="005B3ABD" w:rsidRDefault="003B40DD" w:rsidP="003B40DD">
      <w:pPr>
        <w:pStyle w:val="NormalBold"/>
      </w:pPr>
      <w:r w:rsidRPr="005B3ABD">
        <w:rPr>
          <w:rStyle w:val="HideTWBExt"/>
          <w:b w:val="0"/>
          <w:noProof w:val="0"/>
          <w:color w:val="auto"/>
        </w:rPr>
        <w:t>&lt;Article&gt;</w:t>
      </w:r>
      <w:r w:rsidRPr="005B3ABD">
        <w:t>Article 4 – paragraph 1</w:t>
      </w:r>
      <w:r w:rsidRPr="005B3ABD">
        <w:rPr>
          <w:rStyle w:val="HideTWBExt"/>
          <w:b w:val="0"/>
          <w:noProof w:val="0"/>
          <w:color w:val="auto"/>
        </w:rPr>
        <w:t>&lt;/Article&gt;</w:t>
      </w:r>
    </w:p>
    <w:p w14:paraId="6742D9E4" w14:textId="77777777" w:rsidR="003B40DD" w:rsidRPr="005B3ABD" w:rsidRDefault="003B40DD" w:rsidP="003B40DD">
      <w:pPr>
        <w:keepNext/>
      </w:pPr>
      <w:r w:rsidRPr="005B3ABD">
        <w:rPr>
          <w:rStyle w:val="HideTWBExt"/>
          <w:noProof w:val="0"/>
          <w:color w:val="auto"/>
        </w:rPr>
        <w:t>&lt;DocAmend2&gt;</w:t>
      </w:r>
      <w:r w:rsidRPr="005B3ABD">
        <w:t>Regulation (EU) No 228/2013</w:t>
      </w:r>
      <w:r w:rsidRPr="005B3ABD">
        <w:rPr>
          <w:rStyle w:val="HideTWBExt"/>
          <w:noProof w:val="0"/>
          <w:color w:val="auto"/>
        </w:rPr>
        <w:t>&lt;/DocAmend2&gt;</w:t>
      </w:r>
    </w:p>
    <w:p w14:paraId="0AADE1FD" w14:textId="77777777" w:rsidR="003B40DD" w:rsidRPr="005B3ABD" w:rsidRDefault="003B40DD" w:rsidP="003B40DD">
      <w:r w:rsidRPr="005B3ABD">
        <w:rPr>
          <w:rStyle w:val="HideTWBExt"/>
          <w:noProof w:val="0"/>
          <w:color w:val="auto"/>
        </w:rPr>
        <w:t>&lt;Article2&gt;</w:t>
      </w:r>
      <w:r w:rsidRPr="005B3ABD">
        <w:t>Article 30 – paragraph 2 – indent 2</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20249D00" w14:textId="77777777" w:rsidTr="00882D36">
        <w:trPr>
          <w:jc w:val="center"/>
        </w:trPr>
        <w:tc>
          <w:tcPr>
            <w:tcW w:w="9752" w:type="dxa"/>
            <w:gridSpan w:val="2"/>
          </w:tcPr>
          <w:p w14:paraId="4BC35870" w14:textId="77777777" w:rsidR="003B40DD" w:rsidRPr="005B3ABD" w:rsidRDefault="003B40DD" w:rsidP="00882D36">
            <w:pPr>
              <w:keepNext/>
            </w:pPr>
          </w:p>
        </w:tc>
      </w:tr>
      <w:tr w:rsidR="003B40DD" w:rsidRPr="005B3ABD" w14:paraId="2DB90EEE" w14:textId="77777777" w:rsidTr="00882D36">
        <w:trPr>
          <w:jc w:val="center"/>
        </w:trPr>
        <w:tc>
          <w:tcPr>
            <w:tcW w:w="4876" w:type="dxa"/>
          </w:tcPr>
          <w:p w14:paraId="37A7DA73" w14:textId="77777777" w:rsidR="003B40DD" w:rsidRPr="005B3ABD" w:rsidRDefault="003B40DD" w:rsidP="00882D36">
            <w:pPr>
              <w:pStyle w:val="ColumnHeading"/>
              <w:keepNext/>
              <w:rPr>
                <w:color w:val="0000FA"/>
              </w:rPr>
            </w:pPr>
            <w:r w:rsidRPr="005B3ABD">
              <w:t>Text proposed by the Commission</w:t>
            </w:r>
          </w:p>
        </w:tc>
        <w:tc>
          <w:tcPr>
            <w:tcW w:w="4876" w:type="dxa"/>
          </w:tcPr>
          <w:p w14:paraId="3D743243" w14:textId="77777777" w:rsidR="003B40DD" w:rsidRPr="005B3ABD" w:rsidRDefault="003B40DD" w:rsidP="00882D36">
            <w:pPr>
              <w:pStyle w:val="ColumnHeading"/>
              <w:keepNext/>
              <w:rPr>
                <w:color w:val="0000F5"/>
              </w:rPr>
            </w:pPr>
            <w:r w:rsidRPr="005B3ABD">
              <w:t>Amendment</w:t>
            </w:r>
          </w:p>
        </w:tc>
      </w:tr>
      <w:tr w:rsidR="003B40DD" w:rsidRPr="005B3ABD" w14:paraId="46C39487" w14:textId="77777777" w:rsidTr="00882D36">
        <w:trPr>
          <w:jc w:val="center"/>
        </w:trPr>
        <w:tc>
          <w:tcPr>
            <w:tcW w:w="4876" w:type="dxa"/>
          </w:tcPr>
          <w:p w14:paraId="2F7E8B17" w14:textId="77777777" w:rsidR="003B40DD" w:rsidRPr="005B3ABD" w:rsidRDefault="003B40DD" w:rsidP="00882D36">
            <w:pPr>
              <w:pStyle w:val="Normal6"/>
              <w:rPr>
                <w:color w:val="0000FA"/>
              </w:rPr>
            </w:pPr>
            <w:r w:rsidRPr="005B3ABD">
              <w:t>—</w:t>
            </w:r>
            <w:r w:rsidRPr="005B3ABD">
              <w:tab/>
              <w:t xml:space="preserve">Azores and Madeira: EUR </w:t>
            </w:r>
            <w:r w:rsidRPr="005B3ABD">
              <w:rPr>
                <w:b/>
                <w:bCs/>
                <w:i/>
                <w:iCs/>
              </w:rPr>
              <w:t>102 080 000</w:t>
            </w:r>
          </w:p>
        </w:tc>
        <w:tc>
          <w:tcPr>
            <w:tcW w:w="4876" w:type="dxa"/>
          </w:tcPr>
          <w:p w14:paraId="24AAC7E6" w14:textId="77777777" w:rsidR="003B40DD" w:rsidRPr="005B3ABD" w:rsidRDefault="003B40DD" w:rsidP="00882D36">
            <w:pPr>
              <w:pStyle w:val="Normal6"/>
              <w:rPr>
                <w:szCs w:val="24"/>
              </w:rPr>
            </w:pPr>
            <w:r w:rsidRPr="005B3ABD">
              <w:t>—</w:t>
            </w:r>
            <w:r w:rsidRPr="005B3ABD">
              <w:tab/>
              <w:t xml:space="preserve">Azores and Madeira: EUR </w:t>
            </w:r>
            <w:r w:rsidRPr="005B3ABD">
              <w:rPr>
                <w:b/>
                <w:bCs/>
                <w:i/>
              </w:rPr>
              <w:t>106 21</w:t>
            </w:r>
            <w:r w:rsidRPr="005B3ABD">
              <w:rPr>
                <w:b/>
                <w:bCs/>
                <w:i/>
                <w:iCs/>
              </w:rPr>
              <w:t>0 000</w:t>
            </w:r>
          </w:p>
        </w:tc>
      </w:tr>
    </w:tbl>
    <w:p w14:paraId="5825CDF1"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D5A7AA8"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53204C48" w14:textId="77777777" w:rsidR="003B40DD" w:rsidRPr="005B3ABD" w:rsidRDefault="003B40DD" w:rsidP="003B40DD">
      <w:pPr>
        <w:pStyle w:val="Normal12Italic"/>
      </w:pPr>
      <w:r w:rsidRPr="005B3ABD">
        <w:t>The amendment calls for the current envelope to be maintained.</w:t>
      </w:r>
    </w:p>
    <w:p w14:paraId="191B4A6A" w14:textId="77777777" w:rsidR="003B40DD" w:rsidRPr="005B3ABD" w:rsidRDefault="003B40DD" w:rsidP="003B40DD">
      <w:r w:rsidRPr="005B3ABD">
        <w:rPr>
          <w:rStyle w:val="HideTWBExt"/>
          <w:noProof w:val="0"/>
          <w:color w:val="auto"/>
        </w:rPr>
        <w:t>&lt;/Amend&gt;</w:t>
      </w:r>
    </w:p>
    <w:p w14:paraId="40EF4322"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101</w:t>
      </w:r>
      <w:r w:rsidRPr="005B3ABD">
        <w:rPr>
          <w:rStyle w:val="HideTWBExt"/>
          <w:b w:val="0"/>
          <w:noProof w:val="0"/>
          <w:color w:val="auto"/>
        </w:rPr>
        <w:t>&lt;/NumAm&gt;</w:t>
      </w:r>
    </w:p>
    <w:p w14:paraId="35EF46A5"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775F2DF" w14:textId="77777777" w:rsidR="003B40DD" w:rsidRPr="005B3ABD" w:rsidRDefault="003B40DD" w:rsidP="003B40DD">
      <w:pPr>
        <w:pStyle w:val="NormalBold"/>
      </w:pPr>
      <w:r w:rsidRPr="005B3ABD">
        <w:rPr>
          <w:rStyle w:val="HideTWBExt"/>
          <w:b w:val="0"/>
          <w:noProof w:val="0"/>
          <w:color w:val="auto"/>
        </w:rPr>
        <w:t>&lt;Article&gt;</w:t>
      </w:r>
      <w:r w:rsidRPr="005B3ABD">
        <w:t>Article 4 – paragraph 1</w:t>
      </w:r>
      <w:r w:rsidRPr="005B3ABD">
        <w:rPr>
          <w:rStyle w:val="HideTWBExt"/>
          <w:b w:val="0"/>
          <w:noProof w:val="0"/>
          <w:color w:val="auto"/>
        </w:rPr>
        <w:t>&lt;/Article&gt;</w:t>
      </w:r>
    </w:p>
    <w:p w14:paraId="42F32110" w14:textId="77777777" w:rsidR="003B40DD" w:rsidRPr="005B3ABD" w:rsidRDefault="003B40DD" w:rsidP="003B40DD">
      <w:pPr>
        <w:keepNext/>
      </w:pPr>
      <w:r w:rsidRPr="005B3ABD">
        <w:rPr>
          <w:rStyle w:val="HideTWBExt"/>
          <w:noProof w:val="0"/>
          <w:color w:val="auto"/>
        </w:rPr>
        <w:t>&lt;DocAmend2&gt;</w:t>
      </w:r>
      <w:r w:rsidRPr="005B3ABD">
        <w:t>Regulation (EU) No 228/2013</w:t>
      </w:r>
      <w:r w:rsidRPr="005B3ABD">
        <w:rPr>
          <w:rStyle w:val="HideTWBExt"/>
          <w:noProof w:val="0"/>
          <w:color w:val="auto"/>
        </w:rPr>
        <w:t>&lt;/DocAmend2&gt;</w:t>
      </w:r>
    </w:p>
    <w:p w14:paraId="04484AAB" w14:textId="77777777" w:rsidR="003B40DD" w:rsidRPr="005B3ABD" w:rsidRDefault="003B40DD" w:rsidP="003B40DD">
      <w:r w:rsidRPr="005B3ABD">
        <w:rPr>
          <w:rStyle w:val="HideTWBExt"/>
          <w:noProof w:val="0"/>
          <w:color w:val="auto"/>
        </w:rPr>
        <w:t>&lt;Article2&gt;</w:t>
      </w:r>
      <w:r w:rsidRPr="005B3ABD">
        <w:t>Article 30 – paragraph 2 – indent 3</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185BD08D" w14:textId="77777777" w:rsidTr="00882D36">
        <w:trPr>
          <w:jc w:val="center"/>
        </w:trPr>
        <w:tc>
          <w:tcPr>
            <w:tcW w:w="9752" w:type="dxa"/>
            <w:gridSpan w:val="2"/>
          </w:tcPr>
          <w:p w14:paraId="64652C27" w14:textId="77777777" w:rsidR="003B40DD" w:rsidRPr="005B3ABD" w:rsidRDefault="003B40DD" w:rsidP="00882D36">
            <w:pPr>
              <w:keepNext/>
            </w:pPr>
          </w:p>
        </w:tc>
      </w:tr>
      <w:tr w:rsidR="003B40DD" w:rsidRPr="005B3ABD" w14:paraId="63FB9F1D" w14:textId="77777777" w:rsidTr="00882D36">
        <w:trPr>
          <w:jc w:val="center"/>
        </w:trPr>
        <w:tc>
          <w:tcPr>
            <w:tcW w:w="4876" w:type="dxa"/>
          </w:tcPr>
          <w:p w14:paraId="155C78C8" w14:textId="77777777" w:rsidR="003B40DD" w:rsidRPr="005B3ABD" w:rsidRDefault="003B40DD" w:rsidP="00882D36">
            <w:pPr>
              <w:pStyle w:val="ColumnHeading"/>
              <w:keepNext/>
              <w:rPr>
                <w:color w:val="0000FA"/>
              </w:rPr>
            </w:pPr>
            <w:r w:rsidRPr="005B3ABD">
              <w:t>Text proposed by the Commission</w:t>
            </w:r>
          </w:p>
        </w:tc>
        <w:tc>
          <w:tcPr>
            <w:tcW w:w="4876" w:type="dxa"/>
          </w:tcPr>
          <w:p w14:paraId="1792560B" w14:textId="77777777" w:rsidR="003B40DD" w:rsidRPr="005B3ABD" w:rsidRDefault="003B40DD" w:rsidP="00882D36">
            <w:pPr>
              <w:pStyle w:val="ColumnHeading"/>
              <w:keepNext/>
              <w:rPr>
                <w:color w:val="0000F5"/>
              </w:rPr>
            </w:pPr>
            <w:r w:rsidRPr="005B3ABD">
              <w:t>Amendment</w:t>
            </w:r>
          </w:p>
        </w:tc>
      </w:tr>
      <w:tr w:rsidR="003B40DD" w:rsidRPr="005B3ABD" w14:paraId="2D90ADA6" w14:textId="77777777" w:rsidTr="00882D36">
        <w:trPr>
          <w:jc w:val="center"/>
        </w:trPr>
        <w:tc>
          <w:tcPr>
            <w:tcW w:w="4876" w:type="dxa"/>
          </w:tcPr>
          <w:p w14:paraId="47140170" w14:textId="77777777" w:rsidR="003B40DD" w:rsidRPr="005B3ABD" w:rsidRDefault="003B40DD" w:rsidP="00882D36">
            <w:pPr>
              <w:pStyle w:val="Normal6"/>
              <w:rPr>
                <w:color w:val="0000FA"/>
              </w:rPr>
            </w:pPr>
            <w:r w:rsidRPr="005B3ABD">
              <w:t>—</w:t>
            </w:r>
            <w:r w:rsidRPr="005B3ABD">
              <w:tab/>
              <w:t xml:space="preserve">Canary Islands: EUR </w:t>
            </w:r>
            <w:r w:rsidRPr="005B3ABD">
              <w:rPr>
                <w:i/>
                <w:iCs/>
              </w:rPr>
              <w:t>257 970 000</w:t>
            </w:r>
          </w:p>
        </w:tc>
        <w:tc>
          <w:tcPr>
            <w:tcW w:w="4876" w:type="dxa"/>
          </w:tcPr>
          <w:p w14:paraId="658800B9" w14:textId="77777777" w:rsidR="003B40DD" w:rsidRPr="005B3ABD" w:rsidRDefault="003B40DD" w:rsidP="00882D36">
            <w:pPr>
              <w:pStyle w:val="Normal6"/>
              <w:rPr>
                <w:szCs w:val="24"/>
              </w:rPr>
            </w:pPr>
            <w:r w:rsidRPr="005B3ABD">
              <w:t>—</w:t>
            </w:r>
            <w:r w:rsidRPr="005B3ABD">
              <w:tab/>
              <w:t xml:space="preserve">Canary Islands: EUR </w:t>
            </w:r>
            <w:r w:rsidRPr="005B3ABD">
              <w:rPr>
                <w:b/>
                <w:i/>
              </w:rPr>
              <w:t>268 42</w:t>
            </w:r>
            <w:r w:rsidRPr="005B3ABD">
              <w:rPr>
                <w:i/>
                <w:iCs/>
              </w:rPr>
              <w:t>0 000</w:t>
            </w:r>
          </w:p>
        </w:tc>
      </w:tr>
    </w:tbl>
    <w:p w14:paraId="2262771F"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680B47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0298B2D2" w14:textId="77777777" w:rsidR="003B40DD" w:rsidRPr="005B3ABD" w:rsidRDefault="003B40DD" w:rsidP="003B40DD">
      <w:pPr>
        <w:pStyle w:val="Normal12Italic"/>
      </w:pPr>
      <w:r w:rsidRPr="005B3ABD">
        <w:t>The amendment calls for the current envelope to be maintained.</w:t>
      </w:r>
    </w:p>
    <w:p w14:paraId="3710D77D" w14:textId="77777777" w:rsidR="003B40DD" w:rsidRPr="005B3ABD" w:rsidRDefault="003B40DD" w:rsidP="003B40DD">
      <w:r w:rsidRPr="005B3ABD">
        <w:rPr>
          <w:rStyle w:val="HideTWBExt"/>
          <w:noProof w:val="0"/>
          <w:color w:val="auto"/>
        </w:rPr>
        <w:t>&lt;/Amend&gt;</w:t>
      </w:r>
    </w:p>
    <w:p w14:paraId="3FAFB46E"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102</w:t>
      </w:r>
      <w:r w:rsidRPr="005B3ABD">
        <w:rPr>
          <w:rStyle w:val="HideTWBExt"/>
          <w:b w:val="0"/>
          <w:noProof w:val="0"/>
          <w:color w:val="auto"/>
        </w:rPr>
        <w:t>&lt;/NumAm&gt;</w:t>
      </w:r>
    </w:p>
    <w:p w14:paraId="52A9AB1D"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216587E" w14:textId="77777777" w:rsidR="003B40DD" w:rsidRPr="005B3ABD" w:rsidRDefault="003B40DD" w:rsidP="003B40DD">
      <w:pPr>
        <w:pStyle w:val="NormalBold"/>
      </w:pPr>
      <w:r w:rsidRPr="005B3ABD">
        <w:rPr>
          <w:rStyle w:val="HideTWBExt"/>
          <w:b w:val="0"/>
          <w:noProof w:val="0"/>
          <w:color w:val="auto"/>
        </w:rPr>
        <w:t>&lt;Article&gt;</w:t>
      </w:r>
      <w:r w:rsidRPr="005B3ABD">
        <w:t>Article 4 – paragraph 1</w:t>
      </w:r>
      <w:r w:rsidRPr="005B3ABD">
        <w:rPr>
          <w:rStyle w:val="HideTWBExt"/>
          <w:b w:val="0"/>
          <w:noProof w:val="0"/>
          <w:color w:val="auto"/>
        </w:rPr>
        <w:t>&lt;/Article&gt;</w:t>
      </w:r>
    </w:p>
    <w:p w14:paraId="3E4DB543" w14:textId="77777777" w:rsidR="003B40DD" w:rsidRPr="005B3ABD" w:rsidRDefault="003B40DD" w:rsidP="003B40DD">
      <w:pPr>
        <w:keepNext/>
      </w:pPr>
      <w:r w:rsidRPr="005B3ABD">
        <w:rPr>
          <w:rStyle w:val="HideTWBExt"/>
          <w:noProof w:val="0"/>
          <w:color w:val="auto"/>
        </w:rPr>
        <w:t>&lt;DocAmend2&gt;</w:t>
      </w:r>
      <w:r w:rsidRPr="005B3ABD">
        <w:t>Regulation (EU) No 228/2013</w:t>
      </w:r>
      <w:r w:rsidRPr="005B3ABD">
        <w:rPr>
          <w:rStyle w:val="HideTWBExt"/>
          <w:noProof w:val="0"/>
          <w:color w:val="auto"/>
        </w:rPr>
        <w:t>&lt;/DocAmend2&gt;</w:t>
      </w:r>
    </w:p>
    <w:p w14:paraId="462F9CDD" w14:textId="77777777" w:rsidR="003B40DD" w:rsidRPr="005B3ABD" w:rsidRDefault="003B40DD" w:rsidP="003B40DD">
      <w:r w:rsidRPr="005B3ABD">
        <w:rPr>
          <w:rStyle w:val="HideTWBExt"/>
          <w:noProof w:val="0"/>
          <w:color w:val="auto"/>
        </w:rPr>
        <w:t>&lt;Article2&gt;</w:t>
      </w:r>
      <w:r w:rsidRPr="005B3ABD">
        <w:t>Article 30 – paragraph 3 – subparagraph 1 – indent 1</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0FA4A20" w14:textId="77777777" w:rsidTr="00882D36">
        <w:trPr>
          <w:jc w:val="center"/>
        </w:trPr>
        <w:tc>
          <w:tcPr>
            <w:tcW w:w="9752" w:type="dxa"/>
            <w:gridSpan w:val="2"/>
          </w:tcPr>
          <w:p w14:paraId="2BA195BD" w14:textId="77777777" w:rsidR="003B40DD" w:rsidRPr="005B3ABD" w:rsidRDefault="003B40DD" w:rsidP="00882D36">
            <w:pPr>
              <w:keepNext/>
            </w:pPr>
          </w:p>
        </w:tc>
      </w:tr>
      <w:tr w:rsidR="003B40DD" w:rsidRPr="005B3ABD" w14:paraId="63B585D8" w14:textId="77777777" w:rsidTr="00882D36">
        <w:trPr>
          <w:jc w:val="center"/>
        </w:trPr>
        <w:tc>
          <w:tcPr>
            <w:tcW w:w="4876" w:type="dxa"/>
          </w:tcPr>
          <w:p w14:paraId="4CFA9EFE" w14:textId="77777777" w:rsidR="003B40DD" w:rsidRPr="005B3ABD" w:rsidRDefault="003B40DD" w:rsidP="00882D36">
            <w:pPr>
              <w:pStyle w:val="ColumnHeading"/>
              <w:keepNext/>
              <w:rPr>
                <w:color w:val="0000FA"/>
              </w:rPr>
            </w:pPr>
            <w:r w:rsidRPr="005B3ABD">
              <w:t>Text proposed by the Commission</w:t>
            </w:r>
          </w:p>
        </w:tc>
        <w:tc>
          <w:tcPr>
            <w:tcW w:w="4876" w:type="dxa"/>
          </w:tcPr>
          <w:p w14:paraId="45B2495E" w14:textId="77777777" w:rsidR="003B40DD" w:rsidRPr="005B3ABD" w:rsidRDefault="003B40DD" w:rsidP="00882D36">
            <w:pPr>
              <w:pStyle w:val="ColumnHeading"/>
              <w:keepNext/>
              <w:rPr>
                <w:color w:val="0000F5"/>
              </w:rPr>
            </w:pPr>
            <w:r w:rsidRPr="005B3ABD">
              <w:t>Amendment</w:t>
            </w:r>
          </w:p>
        </w:tc>
      </w:tr>
      <w:tr w:rsidR="003B40DD" w:rsidRPr="005B3ABD" w14:paraId="3AB7AA2A" w14:textId="77777777" w:rsidTr="00882D36">
        <w:trPr>
          <w:jc w:val="center"/>
        </w:trPr>
        <w:tc>
          <w:tcPr>
            <w:tcW w:w="4876" w:type="dxa"/>
          </w:tcPr>
          <w:p w14:paraId="45DCA27C" w14:textId="77777777" w:rsidR="003B40DD" w:rsidRPr="005B3ABD" w:rsidRDefault="003B40DD" w:rsidP="00882D36">
            <w:pPr>
              <w:pStyle w:val="Normal6"/>
              <w:rPr>
                <w:color w:val="0000FA"/>
              </w:rPr>
            </w:pPr>
            <w:r w:rsidRPr="005B3ABD">
              <w:t>—</w:t>
            </w:r>
            <w:r w:rsidRPr="005B3ABD">
              <w:tab/>
              <w:t xml:space="preserve">in the French overseas departments: EUR </w:t>
            </w:r>
            <w:r w:rsidRPr="005B3ABD">
              <w:rPr>
                <w:b/>
                <w:bCs/>
                <w:i/>
                <w:iCs/>
              </w:rPr>
              <w:t>25 900 000</w:t>
            </w:r>
          </w:p>
        </w:tc>
        <w:tc>
          <w:tcPr>
            <w:tcW w:w="4876" w:type="dxa"/>
          </w:tcPr>
          <w:p w14:paraId="3C5241EB" w14:textId="77777777" w:rsidR="003B40DD" w:rsidRPr="005B3ABD" w:rsidRDefault="003B40DD" w:rsidP="00882D36">
            <w:pPr>
              <w:pStyle w:val="Normal6"/>
              <w:rPr>
                <w:szCs w:val="24"/>
              </w:rPr>
            </w:pPr>
            <w:r w:rsidRPr="005B3ABD">
              <w:t>—</w:t>
            </w:r>
            <w:r w:rsidRPr="005B3ABD">
              <w:tab/>
              <w:t xml:space="preserve">in the French overseas departments: EUR </w:t>
            </w:r>
            <w:r w:rsidRPr="005B3ABD">
              <w:rPr>
                <w:b/>
                <w:bCs/>
                <w:i/>
                <w:iCs/>
              </w:rPr>
              <w:t>26 900 000</w:t>
            </w:r>
          </w:p>
        </w:tc>
      </w:tr>
    </w:tbl>
    <w:p w14:paraId="3307E64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119DD2D"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846E7B4" w14:textId="77777777" w:rsidR="003B40DD" w:rsidRPr="005B3ABD" w:rsidRDefault="003B40DD" w:rsidP="003B40DD">
      <w:pPr>
        <w:pStyle w:val="Normal12Italic"/>
      </w:pPr>
      <w:r w:rsidRPr="005B3ABD">
        <w:t>The amendment calls for the current envelope to be maintained.</w:t>
      </w:r>
    </w:p>
    <w:p w14:paraId="0333D4DD" w14:textId="77777777" w:rsidR="003B40DD" w:rsidRPr="005B3ABD" w:rsidRDefault="003B40DD" w:rsidP="003B40DD">
      <w:r w:rsidRPr="005B3ABD">
        <w:rPr>
          <w:rStyle w:val="HideTWBExt"/>
          <w:noProof w:val="0"/>
          <w:color w:val="auto"/>
        </w:rPr>
        <w:t>&lt;/Amend&gt;</w:t>
      </w:r>
    </w:p>
    <w:p w14:paraId="2B7292EC"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103</w:t>
      </w:r>
      <w:r w:rsidRPr="005B3ABD">
        <w:rPr>
          <w:rStyle w:val="HideTWBExt"/>
          <w:b w:val="0"/>
          <w:noProof w:val="0"/>
          <w:color w:val="auto"/>
        </w:rPr>
        <w:t>&lt;/NumAm&gt;</w:t>
      </w:r>
    </w:p>
    <w:p w14:paraId="657B2373"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00BEA10" w14:textId="77777777" w:rsidR="003B40DD" w:rsidRPr="005B3ABD" w:rsidRDefault="003B40DD" w:rsidP="003B40DD">
      <w:pPr>
        <w:pStyle w:val="NormalBold"/>
      </w:pPr>
      <w:r w:rsidRPr="005B3ABD">
        <w:rPr>
          <w:rStyle w:val="HideTWBExt"/>
          <w:b w:val="0"/>
          <w:noProof w:val="0"/>
          <w:color w:val="auto"/>
        </w:rPr>
        <w:t>&lt;Article&gt;</w:t>
      </w:r>
      <w:r w:rsidRPr="005B3ABD">
        <w:t>Article 4 – paragraph 1</w:t>
      </w:r>
      <w:r w:rsidRPr="005B3ABD">
        <w:rPr>
          <w:rStyle w:val="HideTWBExt"/>
          <w:b w:val="0"/>
          <w:noProof w:val="0"/>
          <w:color w:val="auto"/>
        </w:rPr>
        <w:t>&lt;/Article&gt;</w:t>
      </w:r>
    </w:p>
    <w:p w14:paraId="241F483F" w14:textId="77777777" w:rsidR="003B40DD" w:rsidRPr="005B3ABD" w:rsidRDefault="003B40DD" w:rsidP="003B40DD">
      <w:pPr>
        <w:keepNext/>
      </w:pPr>
      <w:r w:rsidRPr="005B3ABD">
        <w:rPr>
          <w:rStyle w:val="HideTWBExt"/>
          <w:noProof w:val="0"/>
          <w:color w:val="auto"/>
        </w:rPr>
        <w:t>&lt;DocAmend2&gt;</w:t>
      </w:r>
      <w:r w:rsidRPr="005B3ABD">
        <w:t>Regulation (EU) No 228/2013</w:t>
      </w:r>
      <w:r w:rsidRPr="005B3ABD">
        <w:rPr>
          <w:rStyle w:val="HideTWBExt"/>
          <w:noProof w:val="0"/>
          <w:color w:val="auto"/>
        </w:rPr>
        <w:t>&lt;/DocAmend2&gt;</w:t>
      </w:r>
    </w:p>
    <w:p w14:paraId="5F2369F5" w14:textId="77777777" w:rsidR="003B40DD" w:rsidRPr="005B3ABD" w:rsidRDefault="003B40DD" w:rsidP="003B40DD">
      <w:r w:rsidRPr="005B3ABD">
        <w:rPr>
          <w:rStyle w:val="HideTWBExt"/>
          <w:noProof w:val="0"/>
          <w:color w:val="auto"/>
        </w:rPr>
        <w:t>&lt;Article2&gt;</w:t>
      </w:r>
      <w:r w:rsidRPr="005B3ABD">
        <w:t>Article 30 – paragraph 3 – subparagraph 1 – indent 2</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8F48DB6" w14:textId="77777777" w:rsidTr="00882D36">
        <w:trPr>
          <w:jc w:val="center"/>
        </w:trPr>
        <w:tc>
          <w:tcPr>
            <w:tcW w:w="9752" w:type="dxa"/>
            <w:gridSpan w:val="2"/>
          </w:tcPr>
          <w:p w14:paraId="6CA4CA5F" w14:textId="77777777" w:rsidR="003B40DD" w:rsidRPr="005B3ABD" w:rsidRDefault="003B40DD" w:rsidP="00882D36">
            <w:pPr>
              <w:keepNext/>
            </w:pPr>
          </w:p>
        </w:tc>
      </w:tr>
      <w:tr w:rsidR="003B40DD" w:rsidRPr="005B3ABD" w14:paraId="171D2F26" w14:textId="77777777" w:rsidTr="00882D36">
        <w:trPr>
          <w:jc w:val="center"/>
        </w:trPr>
        <w:tc>
          <w:tcPr>
            <w:tcW w:w="4876" w:type="dxa"/>
          </w:tcPr>
          <w:p w14:paraId="28ED2183" w14:textId="77777777" w:rsidR="003B40DD" w:rsidRPr="005B3ABD" w:rsidRDefault="003B40DD" w:rsidP="00882D36">
            <w:pPr>
              <w:pStyle w:val="ColumnHeading"/>
              <w:keepNext/>
              <w:rPr>
                <w:color w:val="0000FA"/>
              </w:rPr>
            </w:pPr>
            <w:r w:rsidRPr="005B3ABD">
              <w:t>Text proposed by the Commission</w:t>
            </w:r>
          </w:p>
        </w:tc>
        <w:tc>
          <w:tcPr>
            <w:tcW w:w="4876" w:type="dxa"/>
          </w:tcPr>
          <w:p w14:paraId="2C2B6061" w14:textId="77777777" w:rsidR="003B40DD" w:rsidRPr="005B3ABD" w:rsidRDefault="003B40DD" w:rsidP="00882D36">
            <w:pPr>
              <w:pStyle w:val="ColumnHeading"/>
              <w:keepNext/>
              <w:rPr>
                <w:color w:val="0000F5"/>
              </w:rPr>
            </w:pPr>
            <w:r w:rsidRPr="005B3ABD">
              <w:t>Amendment</w:t>
            </w:r>
          </w:p>
        </w:tc>
      </w:tr>
      <w:tr w:rsidR="003B40DD" w:rsidRPr="005B3ABD" w14:paraId="7257D50D" w14:textId="77777777" w:rsidTr="00882D36">
        <w:trPr>
          <w:jc w:val="center"/>
        </w:trPr>
        <w:tc>
          <w:tcPr>
            <w:tcW w:w="4876" w:type="dxa"/>
          </w:tcPr>
          <w:p w14:paraId="55A68A56" w14:textId="77777777" w:rsidR="003B40DD" w:rsidRPr="005B3ABD" w:rsidRDefault="003B40DD" w:rsidP="00882D36">
            <w:pPr>
              <w:pStyle w:val="Normal6"/>
              <w:rPr>
                <w:color w:val="0000FA"/>
              </w:rPr>
            </w:pPr>
            <w:r w:rsidRPr="005B3ABD">
              <w:t>—</w:t>
            </w:r>
            <w:r w:rsidRPr="005B3ABD">
              <w:tab/>
              <w:t xml:space="preserve">Azores and Madeira: EUR </w:t>
            </w:r>
            <w:r w:rsidRPr="005B3ABD">
              <w:rPr>
                <w:b/>
                <w:bCs/>
                <w:i/>
                <w:iCs/>
              </w:rPr>
              <w:t>20 400 000</w:t>
            </w:r>
          </w:p>
        </w:tc>
        <w:tc>
          <w:tcPr>
            <w:tcW w:w="4876" w:type="dxa"/>
          </w:tcPr>
          <w:p w14:paraId="7115F4A8" w14:textId="77777777" w:rsidR="003B40DD" w:rsidRPr="005B3ABD" w:rsidRDefault="003B40DD" w:rsidP="00882D36">
            <w:pPr>
              <w:pStyle w:val="Normal6"/>
              <w:rPr>
                <w:szCs w:val="24"/>
              </w:rPr>
            </w:pPr>
            <w:r w:rsidRPr="005B3ABD">
              <w:t>—</w:t>
            </w:r>
            <w:r w:rsidRPr="005B3ABD">
              <w:tab/>
              <w:t xml:space="preserve">Azores and Madeira: EUR </w:t>
            </w:r>
            <w:r w:rsidRPr="005B3ABD">
              <w:rPr>
                <w:b/>
                <w:bCs/>
                <w:i/>
              </w:rPr>
              <w:t>21 2</w:t>
            </w:r>
            <w:r w:rsidRPr="005B3ABD">
              <w:rPr>
                <w:b/>
                <w:bCs/>
                <w:i/>
                <w:iCs/>
              </w:rPr>
              <w:t>00 000</w:t>
            </w:r>
          </w:p>
        </w:tc>
      </w:tr>
    </w:tbl>
    <w:p w14:paraId="2E955606" w14:textId="77777777" w:rsidR="003B40DD" w:rsidRPr="005B3ABD" w:rsidRDefault="003B40DD" w:rsidP="003B40DD">
      <w:pPr>
        <w:pStyle w:val="Olang"/>
        <w:rPr>
          <w:noProof w:val="0"/>
          <w:szCs w:val="24"/>
        </w:rPr>
      </w:pPr>
      <w:r w:rsidRPr="005B3ABD">
        <w:rPr>
          <w:noProof w:val="0"/>
          <w:szCs w:val="24"/>
        </w:rPr>
        <w:lastRenderedPageBreak/>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211F939"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692DFC3" w14:textId="77777777" w:rsidR="003B40DD" w:rsidRPr="005B3ABD" w:rsidRDefault="003B40DD" w:rsidP="003B40DD">
      <w:pPr>
        <w:pStyle w:val="Normal12Italic"/>
      </w:pPr>
      <w:r w:rsidRPr="005B3ABD">
        <w:t>The amendment calls for the current envelope to be maintained.</w:t>
      </w:r>
    </w:p>
    <w:p w14:paraId="7B9F36CB" w14:textId="77777777" w:rsidR="003B40DD" w:rsidRPr="005B3ABD" w:rsidRDefault="003B40DD" w:rsidP="003B40DD">
      <w:r w:rsidRPr="005B3ABD">
        <w:rPr>
          <w:rStyle w:val="HideTWBExt"/>
          <w:noProof w:val="0"/>
          <w:color w:val="auto"/>
        </w:rPr>
        <w:t>&lt;/Amend&gt;</w:t>
      </w:r>
    </w:p>
    <w:p w14:paraId="6EEDC33E"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104</w:t>
      </w:r>
      <w:r w:rsidRPr="005B3ABD">
        <w:rPr>
          <w:rStyle w:val="HideTWBExt"/>
          <w:b w:val="0"/>
          <w:noProof w:val="0"/>
          <w:color w:val="auto"/>
        </w:rPr>
        <w:t>&lt;/NumAm&gt;</w:t>
      </w:r>
    </w:p>
    <w:p w14:paraId="32680E52"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5CFA2FBC" w14:textId="77777777" w:rsidR="003B40DD" w:rsidRPr="005B3ABD" w:rsidRDefault="003B40DD" w:rsidP="003B40DD">
      <w:pPr>
        <w:pStyle w:val="NormalBold"/>
      </w:pPr>
      <w:r w:rsidRPr="005B3ABD">
        <w:rPr>
          <w:rStyle w:val="HideTWBExt"/>
          <w:b w:val="0"/>
          <w:noProof w:val="0"/>
          <w:color w:val="auto"/>
        </w:rPr>
        <w:t>&lt;Article&gt;</w:t>
      </w:r>
      <w:r w:rsidRPr="005B3ABD">
        <w:t>Article 4 – paragraph 1</w:t>
      </w:r>
      <w:r w:rsidRPr="005B3ABD">
        <w:rPr>
          <w:rStyle w:val="HideTWBExt"/>
          <w:b w:val="0"/>
          <w:noProof w:val="0"/>
          <w:color w:val="auto"/>
        </w:rPr>
        <w:t>&lt;/Article&gt;</w:t>
      </w:r>
    </w:p>
    <w:p w14:paraId="0506383C" w14:textId="77777777" w:rsidR="003B40DD" w:rsidRPr="005B3ABD" w:rsidRDefault="003B40DD" w:rsidP="003B40DD">
      <w:pPr>
        <w:keepNext/>
      </w:pPr>
      <w:r w:rsidRPr="005B3ABD">
        <w:rPr>
          <w:rStyle w:val="HideTWBExt"/>
          <w:noProof w:val="0"/>
          <w:color w:val="auto"/>
        </w:rPr>
        <w:t>&lt;DocAmend2&gt;</w:t>
      </w:r>
      <w:r w:rsidRPr="005B3ABD">
        <w:t>Regulation (EU) No 228/2013</w:t>
      </w:r>
      <w:r w:rsidRPr="005B3ABD">
        <w:rPr>
          <w:rStyle w:val="HideTWBExt"/>
          <w:noProof w:val="0"/>
          <w:color w:val="auto"/>
        </w:rPr>
        <w:t>&lt;/DocAmend2&gt;</w:t>
      </w:r>
    </w:p>
    <w:p w14:paraId="5AA80FB7" w14:textId="77777777" w:rsidR="003B40DD" w:rsidRPr="005B3ABD" w:rsidRDefault="003B40DD" w:rsidP="003B40DD">
      <w:r w:rsidRPr="005B3ABD">
        <w:rPr>
          <w:rStyle w:val="HideTWBExt"/>
          <w:noProof w:val="0"/>
          <w:color w:val="auto"/>
        </w:rPr>
        <w:t>&lt;Article2&gt;</w:t>
      </w:r>
      <w:r w:rsidRPr="005B3ABD">
        <w:t>Article 30 – paragraph 3 – subparagraph 1 – indent 3</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77E156E" w14:textId="77777777" w:rsidTr="00882D36">
        <w:trPr>
          <w:jc w:val="center"/>
        </w:trPr>
        <w:tc>
          <w:tcPr>
            <w:tcW w:w="9752" w:type="dxa"/>
            <w:gridSpan w:val="2"/>
          </w:tcPr>
          <w:p w14:paraId="7C6FC8FA" w14:textId="77777777" w:rsidR="003B40DD" w:rsidRPr="005B3ABD" w:rsidRDefault="003B40DD" w:rsidP="00882D36">
            <w:pPr>
              <w:keepNext/>
            </w:pPr>
          </w:p>
        </w:tc>
      </w:tr>
      <w:tr w:rsidR="003B40DD" w:rsidRPr="005B3ABD" w14:paraId="05F0D6CF" w14:textId="77777777" w:rsidTr="00882D36">
        <w:trPr>
          <w:jc w:val="center"/>
        </w:trPr>
        <w:tc>
          <w:tcPr>
            <w:tcW w:w="4876" w:type="dxa"/>
          </w:tcPr>
          <w:p w14:paraId="6B090B7A" w14:textId="77777777" w:rsidR="003B40DD" w:rsidRPr="005B3ABD" w:rsidRDefault="003B40DD" w:rsidP="00882D36">
            <w:pPr>
              <w:pStyle w:val="ColumnHeading"/>
              <w:keepNext/>
              <w:rPr>
                <w:color w:val="0000FA"/>
              </w:rPr>
            </w:pPr>
            <w:r w:rsidRPr="005B3ABD">
              <w:t>Text proposed by the Commission</w:t>
            </w:r>
          </w:p>
        </w:tc>
        <w:tc>
          <w:tcPr>
            <w:tcW w:w="4876" w:type="dxa"/>
          </w:tcPr>
          <w:p w14:paraId="550A4473" w14:textId="77777777" w:rsidR="003B40DD" w:rsidRPr="005B3ABD" w:rsidRDefault="003B40DD" w:rsidP="00882D36">
            <w:pPr>
              <w:pStyle w:val="ColumnHeading"/>
              <w:keepNext/>
              <w:rPr>
                <w:color w:val="0000F5"/>
              </w:rPr>
            </w:pPr>
            <w:r w:rsidRPr="005B3ABD">
              <w:t>Amendment</w:t>
            </w:r>
          </w:p>
        </w:tc>
      </w:tr>
      <w:tr w:rsidR="003B40DD" w:rsidRPr="005B3ABD" w14:paraId="6B15BF5F" w14:textId="77777777" w:rsidTr="00882D36">
        <w:trPr>
          <w:jc w:val="center"/>
        </w:trPr>
        <w:tc>
          <w:tcPr>
            <w:tcW w:w="4876" w:type="dxa"/>
          </w:tcPr>
          <w:p w14:paraId="036D6D50" w14:textId="77777777" w:rsidR="003B40DD" w:rsidRPr="005B3ABD" w:rsidRDefault="003B40DD" w:rsidP="00882D36">
            <w:pPr>
              <w:pStyle w:val="Normal6"/>
              <w:rPr>
                <w:color w:val="0000FA"/>
              </w:rPr>
            </w:pPr>
            <w:r w:rsidRPr="005B3ABD">
              <w:t>—</w:t>
            </w:r>
            <w:r w:rsidRPr="005B3ABD">
              <w:tab/>
              <w:t xml:space="preserve">Canary Islands: EUR </w:t>
            </w:r>
            <w:r w:rsidRPr="005B3ABD">
              <w:rPr>
                <w:b/>
                <w:bCs/>
                <w:i/>
                <w:iCs/>
              </w:rPr>
              <w:t>69 900 000</w:t>
            </w:r>
          </w:p>
        </w:tc>
        <w:tc>
          <w:tcPr>
            <w:tcW w:w="4876" w:type="dxa"/>
          </w:tcPr>
          <w:p w14:paraId="18074CB0" w14:textId="77777777" w:rsidR="003B40DD" w:rsidRPr="005B3ABD" w:rsidRDefault="003B40DD" w:rsidP="00882D36">
            <w:pPr>
              <w:pStyle w:val="Normal6"/>
              <w:rPr>
                <w:szCs w:val="24"/>
              </w:rPr>
            </w:pPr>
            <w:r w:rsidRPr="005B3ABD">
              <w:t>—</w:t>
            </w:r>
            <w:r w:rsidRPr="005B3ABD">
              <w:tab/>
              <w:t xml:space="preserve">Canary Islands: EUR </w:t>
            </w:r>
            <w:r w:rsidRPr="005B3ABD">
              <w:rPr>
                <w:b/>
                <w:bCs/>
                <w:i/>
              </w:rPr>
              <w:t>72 7</w:t>
            </w:r>
            <w:r w:rsidRPr="005B3ABD">
              <w:rPr>
                <w:b/>
                <w:bCs/>
                <w:i/>
                <w:iCs/>
              </w:rPr>
              <w:t>00 000</w:t>
            </w:r>
          </w:p>
        </w:tc>
      </w:tr>
    </w:tbl>
    <w:p w14:paraId="3C5B8BA2"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F08A3E4"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298413BB" w14:textId="77777777" w:rsidR="003B40DD" w:rsidRPr="005B3ABD" w:rsidRDefault="003B40DD" w:rsidP="003B40DD">
      <w:pPr>
        <w:pStyle w:val="Normal12Italic"/>
      </w:pPr>
      <w:r w:rsidRPr="005B3ABD">
        <w:t>The amendment calls for the current envelope to be maintained.</w:t>
      </w:r>
    </w:p>
    <w:p w14:paraId="4AF5C5B9" w14:textId="77777777" w:rsidR="003B40DD" w:rsidRPr="005B3ABD" w:rsidRDefault="003B40DD" w:rsidP="003B40DD">
      <w:r w:rsidRPr="005B3ABD">
        <w:rPr>
          <w:rStyle w:val="HideTWBExt"/>
          <w:noProof w:val="0"/>
          <w:color w:val="auto"/>
        </w:rPr>
        <w:t>&lt;/Amend&gt;</w:t>
      </w:r>
    </w:p>
    <w:p w14:paraId="206BBF09"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105</w:t>
      </w:r>
      <w:r w:rsidRPr="005B3ABD">
        <w:rPr>
          <w:rStyle w:val="HideTWBExt"/>
          <w:b w:val="0"/>
          <w:noProof w:val="0"/>
          <w:color w:val="auto"/>
        </w:rPr>
        <w:t>&lt;/NumAm&gt;</w:t>
      </w:r>
    </w:p>
    <w:p w14:paraId="608C7357"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0731BDDB" w14:textId="77777777" w:rsidR="003B40DD" w:rsidRPr="005B3ABD" w:rsidRDefault="003B40DD" w:rsidP="003B40DD">
      <w:pPr>
        <w:pStyle w:val="NormalBold"/>
      </w:pPr>
      <w:r w:rsidRPr="005B3ABD">
        <w:rPr>
          <w:rStyle w:val="HideTWBExt"/>
          <w:b w:val="0"/>
          <w:noProof w:val="0"/>
          <w:color w:val="auto"/>
        </w:rPr>
        <w:t>&lt;Article&gt;</w:t>
      </w:r>
      <w:r w:rsidRPr="005B3ABD">
        <w:t>Article 5 – paragraph 1</w:t>
      </w:r>
      <w:r w:rsidRPr="005B3ABD">
        <w:rPr>
          <w:rStyle w:val="HideTWBExt"/>
          <w:b w:val="0"/>
          <w:noProof w:val="0"/>
          <w:color w:val="auto"/>
        </w:rPr>
        <w:t>&lt;/Article&gt;</w:t>
      </w:r>
    </w:p>
    <w:p w14:paraId="1A4D2798" w14:textId="77777777" w:rsidR="003B40DD" w:rsidRPr="005B3ABD" w:rsidRDefault="003B40DD" w:rsidP="003B40DD">
      <w:pPr>
        <w:keepNext/>
      </w:pPr>
      <w:r w:rsidRPr="005B3ABD">
        <w:rPr>
          <w:rStyle w:val="HideTWBExt"/>
          <w:noProof w:val="0"/>
          <w:color w:val="auto"/>
        </w:rPr>
        <w:t>&lt;DocAmend2&gt;</w:t>
      </w:r>
      <w:r w:rsidRPr="005B3ABD">
        <w:t>Regulation (EU) No 229/2013</w:t>
      </w:r>
      <w:r w:rsidRPr="005B3ABD">
        <w:rPr>
          <w:rStyle w:val="HideTWBExt"/>
          <w:noProof w:val="0"/>
          <w:color w:val="auto"/>
        </w:rPr>
        <w:t>&lt;/DocAmend2&gt;</w:t>
      </w:r>
    </w:p>
    <w:p w14:paraId="1CF4AC11" w14:textId="77777777" w:rsidR="003B40DD" w:rsidRPr="005B3ABD" w:rsidRDefault="003B40DD" w:rsidP="003B40DD">
      <w:r w:rsidRPr="005B3ABD">
        <w:rPr>
          <w:rStyle w:val="HideTWBExt"/>
          <w:noProof w:val="0"/>
          <w:color w:val="auto"/>
        </w:rPr>
        <w:t>&lt;Article2&gt;</w:t>
      </w:r>
      <w:r w:rsidRPr="005B3ABD">
        <w:t>Article 18 – paragraph 2</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676E3856" w14:textId="77777777" w:rsidTr="00882D36">
        <w:trPr>
          <w:jc w:val="center"/>
        </w:trPr>
        <w:tc>
          <w:tcPr>
            <w:tcW w:w="9752" w:type="dxa"/>
            <w:gridSpan w:val="2"/>
          </w:tcPr>
          <w:p w14:paraId="7179C457" w14:textId="77777777" w:rsidR="003B40DD" w:rsidRPr="005B3ABD" w:rsidRDefault="003B40DD" w:rsidP="00882D36">
            <w:pPr>
              <w:keepNext/>
            </w:pPr>
          </w:p>
        </w:tc>
      </w:tr>
      <w:tr w:rsidR="003B40DD" w:rsidRPr="005B3ABD" w14:paraId="0D051DA0" w14:textId="77777777" w:rsidTr="00882D36">
        <w:trPr>
          <w:jc w:val="center"/>
        </w:trPr>
        <w:tc>
          <w:tcPr>
            <w:tcW w:w="4876" w:type="dxa"/>
          </w:tcPr>
          <w:p w14:paraId="0A742977" w14:textId="77777777" w:rsidR="003B40DD" w:rsidRPr="005B3ABD" w:rsidRDefault="003B40DD" w:rsidP="00882D36">
            <w:pPr>
              <w:pStyle w:val="ColumnHeading"/>
              <w:keepNext/>
              <w:rPr>
                <w:color w:val="0000FA"/>
              </w:rPr>
            </w:pPr>
            <w:r w:rsidRPr="005B3ABD">
              <w:t>Text proposed by the Commission</w:t>
            </w:r>
          </w:p>
        </w:tc>
        <w:tc>
          <w:tcPr>
            <w:tcW w:w="4876" w:type="dxa"/>
          </w:tcPr>
          <w:p w14:paraId="25677520" w14:textId="77777777" w:rsidR="003B40DD" w:rsidRPr="005B3ABD" w:rsidRDefault="003B40DD" w:rsidP="00882D36">
            <w:pPr>
              <w:pStyle w:val="ColumnHeading"/>
              <w:keepNext/>
              <w:rPr>
                <w:color w:val="0000F5"/>
              </w:rPr>
            </w:pPr>
            <w:r w:rsidRPr="005B3ABD">
              <w:t>Amendment</w:t>
            </w:r>
          </w:p>
        </w:tc>
      </w:tr>
      <w:tr w:rsidR="003B40DD" w:rsidRPr="005B3ABD" w14:paraId="603BFBFF" w14:textId="77777777" w:rsidTr="00882D36">
        <w:trPr>
          <w:jc w:val="center"/>
        </w:trPr>
        <w:tc>
          <w:tcPr>
            <w:tcW w:w="4876" w:type="dxa"/>
          </w:tcPr>
          <w:p w14:paraId="184E442A" w14:textId="77777777" w:rsidR="003B40DD" w:rsidRPr="005B3ABD" w:rsidRDefault="003B40DD" w:rsidP="00882D36">
            <w:pPr>
              <w:pStyle w:val="Normal6"/>
              <w:rPr>
                <w:color w:val="0000FA"/>
              </w:rPr>
            </w:pPr>
            <w:r w:rsidRPr="005B3ABD">
              <w:t>2.</w:t>
            </w:r>
            <w:r w:rsidRPr="005B3ABD">
              <w:tab/>
              <w:t xml:space="preserve">The Union shall finance the measures provided for in Chapters III and IV up to a maximum amount of EUR </w:t>
            </w:r>
            <w:r w:rsidRPr="005B3ABD">
              <w:rPr>
                <w:b/>
                <w:bCs/>
                <w:i/>
                <w:iCs/>
              </w:rPr>
              <w:t>23 000 000</w:t>
            </w:r>
            <w:r w:rsidRPr="005B3ABD">
              <w:t>.</w:t>
            </w:r>
          </w:p>
        </w:tc>
        <w:tc>
          <w:tcPr>
            <w:tcW w:w="4876" w:type="dxa"/>
          </w:tcPr>
          <w:p w14:paraId="0D99CC36" w14:textId="77777777" w:rsidR="003B40DD" w:rsidRPr="005B3ABD" w:rsidRDefault="003B40DD" w:rsidP="00882D36">
            <w:pPr>
              <w:pStyle w:val="Normal6"/>
              <w:rPr>
                <w:szCs w:val="24"/>
              </w:rPr>
            </w:pPr>
            <w:r w:rsidRPr="005B3ABD">
              <w:t>2.</w:t>
            </w:r>
            <w:r w:rsidRPr="005B3ABD">
              <w:tab/>
              <w:t xml:space="preserve">The Union shall finance the measures provided for in Chapters III and IV up to a maximum amount of EUR </w:t>
            </w:r>
            <w:r w:rsidRPr="005B3ABD">
              <w:rPr>
                <w:b/>
                <w:i/>
              </w:rPr>
              <w:t>23 930 000</w:t>
            </w:r>
            <w:r w:rsidRPr="005B3ABD">
              <w:t>.</w:t>
            </w:r>
          </w:p>
        </w:tc>
      </w:tr>
    </w:tbl>
    <w:p w14:paraId="783F514E"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301F1E37"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34D6E7A4" w14:textId="77777777" w:rsidR="003B40DD" w:rsidRPr="005B3ABD" w:rsidRDefault="003B40DD" w:rsidP="003B40DD">
      <w:pPr>
        <w:pStyle w:val="Normal12Italic"/>
      </w:pPr>
      <w:r w:rsidRPr="005B3ABD">
        <w:t>The amendment calls for the current envelope to be maintained.</w:t>
      </w:r>
    </w:p>
    <w:p w14:paraId="3381593E" w14:textId="77777777" w:rsidR="003B40DD" w:rsidRPr="005B3ABD" w:rsidRDefault="003B40DD" w:rsidP="003B40DD">
      <w:r w:rsidRPr="005B3ABD">
        <w:rPr>
          <w:rStyle w:val="HideTWBExt"/>
          <w:noProof w:val="0"/>
          <w:color w:val="auto"/>
        </w:rPr>
        <w:t>&lt;/Amend&gt;</w:t>
      </w:r>
    </w:p>
    <w:p w14:paraId="0D0FD2A9" w14:textId="77777777" w:rsidR="003B40DD" w:rsidRPr="005B3ABD" w:rsidRDefault="003B40DD" w:rsidP="003B40DD">
      <w:pPr>
        <w:pStyle w:val="AMNumberTabs"/>
        <w:keepNext/>
      </w:pPr>
      <w:r w:rsidRPr="005B3ABD">
        <w:rPr>
          <w:rStyle w:val="HideTWBExt"/>
          <w:b w:val="0"/>
          <w:noProof w:val="0"/>
          <w:color w:val="auto"/>
        </w:rPr>
        <w:lastRenderedPageBreak/>
        <w:t>&lt;Amend&gt;</w:t>
      </w:r>
      <w:r w:rsidRPr="005B3ABD">
        <w:t>Amendment</w:t>
      </w:r>
      <w:r w:rsidRPr="005B3ABD">
        <w:tab/>
      </w:r>
      <w:r w:rsidRPr="005B3ABD">
        <w:tab/>
      </w:r>
      <w:r w:rsidRPr="005B3ABD">
        <w:rPr>
          <w:rStyle w:val="HideTWBExt"/>
          <w:b w:val="0"/>
          <w:noProof w:val="0"/>
          <w:color w:val="auto"/>
        </w:rPr>
        <w:t>&lt;NumAm&gt;</w:t>
      </w:r>
      <w:r w:rsidRPr="005B3ABD">
        <w:t>106</w:t>
      </w:r>
      <w:r w:rsidRPr="005B3ABD">
        <w:rPr>
          <w:rStyle w:val="HideTWBExt"/>
          <w:b w:val="0"/>
          <w:noProof w:val="0"/>
          <w:color w:val="auto"/>
        </w:rPr>
        <w:t>&lt;/NumAm&gt;</w:t>
      </w:r>
    </w:p>
    <w:p w14:paraId="3311486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39137B4C" w14:textId="77777777" w:rsidR="003B40DD" w:rsidRPr="005B3ABD" w:rsidRDefault="003B40DD" w:rsidP="003B40DD">
      <w:pPr>
        <w:pStyle w:val="NormalBold"/>
      </w:pPr>
      <w:r w:rsidRPr="005B3ABD">
        <w:rPr>
          <w:rStyle w:val="HideTWBExt"/>
          <w:b w:val="0"/>
          <w:noProof w:val="0"/>
          <w:color w:val="auto"/>
        </w:rPr>
        <w:t>&lt;Article&gt;</w:t>
      </w:r>
      <w:r w:rsidRPr="005B3ABD">
        <w:t>Article 5 – paragraph 1</w:t>
      </w:r>
      <w:r w:rsidRPr="005B3ABD">
        <w:rPr>
          <w:rStyle w:val="HideTWBExt"/>
          <w:b w:val="0"/>
          <w:noProof w:val="0"/>
          <w:color w:val="auto"/>
        </w:rPr>
        <w:t>&lt;/Article&gt;</w:t>
      </w:r>
    </w:p>
    <w:p w14:paraId="3B6DF152" w14:textId="77777777" w:rsidR="003B40DD" w:rsidRPr="005B3ABD" w:rsidRDefault="003B40DD" w:rsidP="003B40DD">
      <w:pPr>
        <w:keepNext/>
      </w:pPr>
      <w:r w:rsidRPr="005B3ABD">
        <w:rPr>
          <w:rStyle w:val="HideTWBExt"/>
          <w:noProof w:val="0"/>
          <w:color w:val="auto"/>
        </w:rPr>
        <w:t>&lt;DocAmend2&gt;</w:t>
      </w:r>
      <w:r w:rsidRPr="005B3ABD">
        <w:t>Regulation (EU) No 229/2013</w:t>
      </w:r>
      <w:r w:rsidRPr="005B3ABD">
        <w:rPr>
          <w:rStyle w:val="HideTWBExt"/>
          <w:noProof w:val="0"/>
          <w:color w:val="auto"/>
        </w:rPr>
        <w:t>&lt;/DocAmend2&gt;</w:t>
      </w:r>
    </w:p>
    <w:p w14:paraId="03CFA10C" w14:textId="77777777" w:rsidR="003B40DD" w:rsidRPr="005B3ABD" w:rsidRDefault="003B40DD" w:rsidP="003B40DD">
      <w:r w:rsidRPr="005B3ABD">
        <w:rPr>
          <w:rStyle w:val="HideTWBExt"/>
          <w:noProof w:val="0"/>
          <w:color w:val="auto"/>
        </w:rPr>
        <w:t>&lt;Article2&gt;</w:t>
      </w:r>
      <w:r w:rsidRPr="005B3ABD">
        <w:t>Article 18 – paragraph 3</w:t>
      </w:r>
      <w:r w:rsidRPr="005B3ABD">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7D360F06" w14:textId="77777777" w:rsidTr="00882D36">
        <w:trPr>
          <w:jc w:val="center"/>
        </w:trPr>
        <w:tc>
          <w:tcPr>
            <w:tcW w:w="9752" w:type="dxa"/>
            <w:gridSpan w:val="2"/>
          </w:tcPr>
          <w:p w14:paraId="4F61FD0F" w14:textId="77777777" w:rsidR="003B40DD" w:rsidRPr="005B3ABD" w:rsidRDefault="003B40DD" w:rsidP="00882D36">
            <w:pPr>
              <w:keepNext/>
            </w:pPr>
          </w:p>
        </w:tc>
      </w:tr>
      <w:tr w:rsidR="003B40DD" w:rsidRPr="005B3ABD" w14:paraId="05B05985" w14:textId="77777777" w:rsidTr="00882D36">
        <w:trPr>
          <w:jc w:val="center"/>
        </w:trPr>
        <w:tc>
          <w:tcPr>
            <w:tcW w:w="4876" w:type="dxa"/>
          </w:tcPr>
          <w:p w14:paraId="1DEB4C92" w14:textId="77777777" w:rsidR="003B40DD" w:rsidRPr="005B3ABD" w:rsidRDefault="003B40DD" w:rsidP="00882D36">
            <w:pPr>
              <w:pStyle w:val="ColumnHeading"/>
              <w:keepNext/>
              <w:rPr>
                <w:color w:val="0000FA"/>
              </w:rPr>
            </w:pPr>
            <w:r w:rsidRPr="005B3ABD">
              <w:t>Text proposed by the Commission</w:t>
            </w:r>
          </w:p>
        </w:tc>
        <w:tc>
          <w:tcPr>
            <w:tcW w:w="4876" w:type="dxa"/>
          </w:tcPr>
          <w:p w14:paraId="66E54C63" w14:textId="77777777" w:rsidR="003B40DD" w:rsidRPr="005B3ABD" w:rsidRDefault="003B40DD" w:rsidP="00882D36">
            <w:pPr>
              <w:pStyle w:val="ColumnHeading"/>
              <w:keepNext/>
              <w:rPr>
                <w:color w:val="0000F5"/>
              </w:rPr>
            </w:pPr>
            <w:r w:rsidRPr="005B3ABD">
              <w:t>Amendment</w:t>
            </w:r>
          </w:p>
        </w:tc>
      </w:tr>
      <w:tr w:rsidR="003B40DD" w:rsidRPr="005B3ABD" w14:paraId="2C2EFBBB" w14:textId="77777777" w:rsidTr="00882D36">
        <w:trPr>
          <w:jc w:val="center"/>
        </w:trPr>
        <w:tc>
          <w:tcPr>
            <w:tcW w:w="4876" w:type="dxa"/>
          </w:tcPr>
          <w:p w14:paraId="5966F7D7" w14:textId="77777777" w:rsidR="003B40DD" w:rsidRPr="005B3ABD" w:rsidRDefault="003B40DD" w:rsidP="00882D36">
            <w:pPr>
              <w:pStyle w:val="Normal6"/>
              <w:rPr>
                <w:color w:val="0000FA"/>
              </w:rPr>
            </w:pPr>
            <w:r w:rsidRPr="005B3ABD">
              <w:t>3.</w:t>
            </w:r>
            <w:r w:rsidRPr="005B3ABD">
              <w:tab/>
              <w:t xml:space="preserve">The amount allocated to finance the specific supply arrangements referred to in Chapter III shall not exceed </w:t>
            </w:r>
            <w:r w:rsidRPr="005B3ABD">
              <w:rPr>
                <w:b/>
                <w:bCs/>
                <w:i/>
                <w:iCs/>
              </w:rPr>
              <w:t>EUR</w:t>
            </w:r>
            <w:r w:rsidRPr="005B3ABD">
              <w:t xml:space="preserve"> </w:t>
            </w:r>
            <w:r w:rsidRPr="005B3ABD">
              <w:rPr>
                <w:b/>
                <w:bCs/>
                <w:i/>
                <w:iCs/>
              </w:rPr>
              <w:t>6 830 000</w:t>
            </w:r>
            <w:r w:rsidRPr="005B3ABD">
              <w:t>.</w:t>
            </w:r>
          </w:p>
        </w:tc>
        <w:tc>
          <w:tcPr>
            <w:tcW w:w="4876" w:type="dxa"/>
          </w:tcPr>
          <w:p w14:paraId="5E3ED99B" w14:textId="77777777" w:rsidR="003B40DD" w:rsidRPr="005B3ABD" w:rsidRDefault="003B40DD" w:rsidP="00882D36">
            <w:pPr>
              <w:pStyle w:val="Normal6"/>
              <w:rPr>
                <w:szCs w:val="24"/>
              </w:rPr>
            </w:pPr>
            <w:r w:rsidRPr="005B3ABD">
              <w:t>3.</w:t>
            </w:r>
            <w:r w:rsidRPr="005B3ABD">
              <w:tab/>
              <w:t xml:space="preserve">The amount allocated to finance the specific supply arrangements referred to in Chapter III shall not exceed </w:t>
            </w:r>
            <w:r w:rsidRPr="005B3ABD">
              <w:rPr>
                <w:b/>
                <w:i/>
              </w:rPr>
              <w:t>EUR 7 110 000.</w:t>
            </w:r>
          </w:p>
        </w:tc>
      </w:tr>
    </w:tbl>
    <w:p w14:paraId="217C0868"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2E5B3E98"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D7D2BA0" w14:textId="77777777" w:rsidR="003B40DD" w:rsidRPr="005B3ABD" w:rsidRDefault="003B40DD" w:rsidP="003B40DD">
      <w:pPr>
        <w:pStyle w:val="Normal12Italic"/>
      </w:pPr>
      <w:r w:rsidRPr="005B3ABD">
        <w:t>The amendment calls for the current envelope to be maintained.</w:t>
      </w:r>
    </w:p>
    <w:p w14:paraId="45FF943B" w14:textId="77777777" w:rsidR="003B40DD" w:rsidRPr="005B3ABD" w:rsidRDefault="003B40DD" w:rsidP="003B40DD">
      <w:r w:rsidRPr="005B3ABD">
        <w:rPr>
          <w:rStyle w:val="HideTWBExt"/>
          <w:noProof w:val="0"/>
          <w:color w:val="auto"/>
        </w:rPr>
        <w:t>&lt;/Amend&gt;</w:t>
      </w:r>
    </w:p>
    <w:p w14:paraId="25A739A7"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107</w:t>
      </w:r>
      <w:r w:rsidRPr="005B3ABD">
        <w:rPr>
          <w:rStyle w:val="HideTWBExt"/>
          <w:b w:val="0"/>
          <w:noProof w:val="0"/>
          <w:color w:val="auto"/>
        </w:rPr>
        <w:t>&lt;/NumAm&gt;</w:t>
      </w:r>
    </w:p>
    <w:p w14:paraId="1B5B7750"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1EFD0205" w14:textId="77777777" w:rsidR="003B40DD" w:rsidRPr="005B3ABD" w:rsidRDefault="003B40DD" w:rsidP="003B40DD">
      <w:pPr>
        <w:pStyle w:val="NormalBold"/>
      </w:pPr>
      <w:r w:rsidRPr="005B3ABD">
        <w:rPr>
          <w:rStyle w:val="HideTWBExt"/>
          <w:b w:val="0"/>
          <w:noProof w:val="0"/>
          <w:color w:val="auto"/>
        </w:rPr>
        <w:t>&lt;Article&gt;</w:t>
      </w:r>
      <w:r w:rsidRPr="005B3ABD">
        <w:t>Article 6 – paragraph 3 a (new)</w:t>
      </w:r>
      <w:r w:rsidRPr="005B3ABD">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CC8756E" w14:textId="77777777" w:rsidTr="00882D36">
        <w:trPr>
          <w:jc w:val="center"/>
        </w:trPr>
        <w:tc>
          <w:tcPr>
            <w:tcW w:w="9752" w:type="dxa"/>
            <w:gridSpan w:val="2"/>
          </w:tcPr>
          <w:p w14:paraId="6B433801" w14:textId="77777777" w:rsidR="003B40DD" w:rsidRPr="005B3ABD" w:rsidRDefault="003B40DD" w:rsidP="00882D36">
            <w:pPr>
              <w:keepNext/>
            </w:pPr>
          </w:p>
        </w:tc>
      </w:tr>
      <w:tr w:rsidR="003B40DD" w:rsidRPr="005B3ABD" w14:paraId="32642D96" w14:textId="77777777" w:rsidTr="00882D36">
        <w:trPr>
          <w:jc w:val="center"/>
        </w:trPr>
        <w:tc>
          <w:tcPr>
            <w:tcW w:w="4876" w:type="dxa"/>
          </w:tcPr>
          <w:p w14:paraId="014DA234" w14:textId="77777777" w:rsidR="003B40DD" w:rsidRPr="005B3ABD" w:rsidRDefault="003B40DD" w:rsidP="00882D36">
            <w:pPr>
              <w:pStyle w:val="ColumnHeading"/>
              <w:keepNext/>
              <w:rPr>
                <w:color w:val="0000FA"/>
              </w:rPr>
            </w:pPr>
            <w:r w:rsidRPr="005B3ABD">
              <w:t>Text proposed by the Commission</w:t>
            </w:r>
          </w:p>
        </w:tc>
        <w:tc>
          <w:tcPr>
            <w:tcW w:w="4876" w:type="dxa"/>
          </w:tcPr>
          <w:p w14:paraId="1A5462EF" w14:textId="77777777" w:rsidR="003B40DD" w:rsidRPr="005B3ABD" w:rsidRDefault="003B40DD" w:rsidP="00882D36">
            <w:pPr>
              <w:pStyle w:val="ColumnHeading"/>
              <w:keepNext/>
              <w:rPr>
                <w:color w:val="0000F5"/>
              </w:rPr>
            </w:pPr>
            <w:r w:rsidRPr="005B3ABD">
              <w:t>Amendment</w:t>
            </w:r>
          </w:p>
        </w:tc>
      </w:tr>
      <w:tr w:rsidR="003B40DD" w:rsidRPr="005B3ABD" w14:paraId="5F4D62B9" w14:textId="77777777" w:rsidTr="00882D36">
        <w:trPr>
          <w:jc w:val="center"/>
        </w:trPr>
        <w:tc>
          <w:tcPr>
            <w:tcW w:w="4876" w:type="dxa"/>
          </w:tcPr>
          <w:p w14:paraId="4835B2C3" w14:textId="77777777" w:rsidR="003B40DD" w:rsidRPr="005B3ABD" w:rsidRDefault="003B40DD" w:rsidP="00882D36">
            <w:pPr>
              <w:pStyle w:val="Normal6"/>
              <w:rPr>
                <w:color w:val="0000FA"/>
              </w:rPr>
            </w:pPr>
          </w:p>
        </w:tc>
        <w:tc>
          <w:tcPr>
            <w:tcW w:w="4876" w:type="dxa"/>
          </w:tcPr>
          <w:p w14:paraId="4F17CE2D" w14:textId="77777777" w:rsidR="003B40DD" w:rsidRPr="005B3ABD" w:rsidRDefault="003B40DD" w:rsidP="00882D36">
            <w:pPr>
              <w:pStyle w:val="Normal6"/>
              <w:rPr>
                <w:szCs w:val="24"/>
              </w:rPr>
            </w:pPr>
            <w:r w:rsidRPr="005B3ABD">
              <w:rPr>
                <w:b/>
                <w:i/>
              </w:rPr>
              <w:t>3 a.</w:t>
            </w:r>
            <w:r w:rsidRPr="005B3ABD">
              <w:rPr>
                <w:b/>
                <w:i/>
              </w:rPr>
              <w:tab/>
              <w:t>Wines placed on the market or labelled before the implementation of the relevant provisions and that do not comply with the specifications in this Regulation may be marketed until stocks are exhausted.</w:t>
            </w:r>
          </w:p>
        </w:tc>
      </w:tr>
    </w:tbl>
    <w:p w14:paraId="36D12CE6"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11B4374B"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49B9F384" w14:textId="77777777" w:rsidR="003B40DD" w:rsidRPr="005B3ABD" w:rsidRDefault="003B40DD" w:rsidP="003B40DD">
      <w:pPr>
        <w:pStyle w:val="Normal12Italic"/>
      </w:pPr>
      <w:r w:rsidRPr="005B3ABD">
        <w:t>This amendment concerns wines that were labelled before the new Regulation came into force, in particular the part concerning new labelling requirements</w:t>
      </w:r>
    </w:p>
    <w:p w14:paraId="7DBFDC6D" w14:textId="77777777" w:rsidR="003B40DD" w:rsidRPr="005B3ABD" w:rsidRDefault="003B40DD" w:rsidP="003B40DD">
      <w:r w:rsidRPr="005B3ABD">
        <w:rPr>
          <w:rStyle w:val="HideTWBExt"/>
          <w:noProof w:val="0"/>
          <w:color w:val="auto"/>
        </w:rPr>
        <w:t>&lt;/Amend&gt;</w:t>
      </w:r>
    </w:p>
    <w:p w14:paraId="77C5AED6"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108</w:t>
      </w:r>
      <w:r w:rsidRPr="005B3ABD">
        <w:rPr>
          <w:rStyle w:val="HideTWBExt"/>
          <w:b w:val="0"/>
          <w:noProof w:val="0"/>
          <w:color w:val="auto"/>
        </w:rPr>
        <w:t>&lt;/NumAm&gt;</w:t>
      </w:r>
    </w:p>
    <w:p w14:paraId="75D13B5B"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76DEF662" w14:textId="77777777" w:rsidR="003B40DD" w:rsidRPr="005B3ABD" w:rsidRDefault="003B40DD" w:rsidP="003B40DD">
      <w:pPr>
        <w:pStyle w:val="NormalBold"/>
      </w:pPr>
      <w:r w:rsidRPr="005B3ABD">
        <w:rPr>
          <w:rStyle w:val="HideTWBExt"/>
          <w:b w:val="0"/>
          <w:noProof w:val="0"/>
          <w:color w:val="auto"/>
        </w:rPr>
        <w:t>&lt;Article&gt;</w:t>
      </w:r>
      <w:r w:rsidRPr="005B3ABD">
        <w:t>Article 7 – paragraph 2 a (new)</w:t>
      </w:r>
      <w:r w:rsidRPr="005B3AB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C235B1A" w14:textId="77777777" w:rsidTr="00882D36">
        <w:trPr>
          <w:jc w:val="center"/>
        </w:trPr>
        <w:tc>
          <w:tcPr>
            <w:tcW w:w="9752" w:type="dxa"/>
            <w:gridSpan w:val="2"/>
          </w:tcPr>
          <w:p w14:paraId="629F1632" w14:textId="77777777" w:rsidR="003B40DD" w:rsidRPr="005B3ABD" w:rsidRDefault="003B40DD" w:rsidP="00882D36">
            <w:pPr>
              <w:keepNext/>
            </w:pPr>
          </w:p>
        </w:tc>
      </w:tr>
      <w:tr w:rsidR="003B40DD" w:rsidRPr="005B3ABD" w14:paraId="7D26FF68" w14:textId="77777777" w:rsidTr="00882D36">
        <w:trPr>
          <w:jc w:val="center"/>
        </w:trPr>
        <w:tc>
          <w:tcPr>
            <w:tcW w:w="4876" w:type="dxa"/>
          </w:tcPr>
          <w:p w14:paraId="436AAD3E" w14:textId="77777777" w:rsidR="003B40DD" w:rsidRPr="005B3ABD" w:rsidRDefault="003B40DD" w:rsidP="00882D36">
            <w:pPr>
              <w:pStyle w:val="ColumnHeading"/>
              <w:keepNext/>
              <w:rPr>
                <w:color w:val="0000FA"/>
              </w:rPr>
            </w:pPr>
            <w:r w:rsidRPr="005B3ABD">
              <w:t>Text proposed by the Commission</w:t>
            </w:r>
          </w:p>
        </w:tc>
        <w:tc>
          <w:tcPr>
            <w:tcW w:w="4876" w:type="dxa"/>
          </w:tcPr>
          <w:p w14:paraId="6E84F139" w14:textId="77777777" w:rsidR="003B40DD" w:rsidRPr="005B3ABD" w:rsidRDefault="003B40DD" w:rsidP="00882D36">
            <w:pPr>
              <w:pStyle w:val="ColumnHeading"/>
              <w:keepNext/>
              <w:rPr>
                <w:color w:val="0000F5"/>
              </w:rPr>
            </w:pPr>
            <w:r w:rsidRPr="005B3ABD">
              <w:t>Amendment</w:t>
            </w:r>
          </w:p>
        </w:tc>
      </w:tr>
      <w:tr w:rsidR="003B40DD" w:rsidRPr="005B3ABD" w14:paraId="3D3228B8" w14:textId="77777777" w:rsidTr="00882D36">
        <w:trPr>
          <w:jc w:val="center"/>
        </w:trPr>
        <w:tc>
          <w:tcPr>
            <w:tcW w:w="4876" w:type="dxa"/>
          </w:tcPr>
          <w:p w14:paraId="5C21219B" w14:textId="77777777" w:rsidR="003B40DD" w:rsidRPr="005B3ABD" w:rsidRDefault="003B40DD" w:rsidP="00882D36">
            <w:pPr>
              <w:pStyle w:val="Normal6"/>
              <w:rPr>
                <w:color w:val="0000FA"/>
              </w:rPr>
            </w:pPr>
          </w:p>
        </w:tc>
        <w:tc>
          <w:tcPr>
            <w:tcW w:w="4876" w:type="dxa"/>
          </w:tcPr>
          <w:p w14:paraId="7E1315A4" w14:textId="77777777" w:rsidR="003B40DD" w:rsidRPr="005B3ABD" w:rsidRDefault="003B40DD" w:rsidP="00882D36">
            <w:pPr>
              <w:pStyle w:val="Normal6"/>
              <w:rPr>
                <w:szCs w:val="24"/>
              </w:rPr>
            </w:pPr>
            <w:r w:rsidRPr="005B3ABD">
              <w:rPr>
                <w:b/>
                <w:i/>
              </w:rPr>
              <w:t>Article 119, paragraph 1, point g (a), Article 119, paragraph 3 c, and Article 121, paragraph 2 a, shall apply from ... [one year after the delegated act has entered into force].</w:t>
            </w:r>
          </w:p>
        </w:tc>
      </w:tr>
    </w:tbl>
    <w:p w14:paraId="4850E34D"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622CCD3F"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6BCAE6A4" w14:textId="77777777" w:rsidR="003B40DD" w:rsidRPr="005B3ABD" w:rsidRDefault="003B40DD" w:rsidP="003B40DD">
      <w:pPr>
        <w:pStyle w:val="Normal12Italic"/>
      </w:pPr>
      <w:r w:rsidRPr="005B3ABD">
        <w:t>These provisions on mandatory energy-value labelling shall enter into force one year after the delegated act has been adopted.</w:t>
      </w:r>
    </w:p>
    <w:p w14:paraId="61FF0BF9" w14:textId="77777777" w:rsidR="003B40DD" w:rsidRPr="005B3ABD" w:rsidRDefault="003B40DD" w:rsidP="003B40DD">
      <w:r w:rsidRPr="005B3ABD">
        <w:rPr>
          <w:rStyle w:val="HideTWBExt"/>
          <w:noProof w:val="0"/>
          <w:color w:val="auto"/>
        </w:rPr>
        <w:t>&lt;/Amend&gt;</w:t>
      </w:r>
    </w:p>
    <w:p w14:paraId="2A309603" w14:textId="77777777" w:rsidR="003B40DD" w:rsidRPr="005B3ABD" w:rsidRDefault="003B40DD" w:rsidP="003B40DD">
      <w:pPr>
        <w:pStyle w:val="AMNumberTabs"/>
        <w:keepNext/>
      </w:pPr>
      <w:r w:rsidRPr="005B3ABD">
        <w:rPr>
          <w:rStyle w:val="HideTWBExt"/>
          <w:b w:val="0"/>
          <w:noProof w:val="0"/>
          <w:color w:val="auto"/>
        </w:rPr>
        <w:t>&lt;Amend&gt;</w:t>
      </w:r>
      <w:r w:rsidRPr="005B3ABD">
        <w:t>Amendment</w:t>
      </w:r>
      <w:r w:rsidRPr="005B3ABD">
        <w:tab/>
      </w:r>
      <w:r w:rsidRPr="005B3ABD">
        <w:tab/>
      </w:r>
      <w:r w:rsidRPr="005B3ABD">
        <w:rPr>
          <w:rStyle w:val="HideTWBExt"/>
          <w:b w:val="0"/>
          <w:noProof w:val="0"/>
          <w:color w:val="auto"/>
        </w:rPr>
        <w:t>&lt;NumAm&gt;</w:t>
      </w:r>
      <w:r w:rsidRPr="005B3ABD">
        <w:t>109</w:t>
      </w:r>
      <w:r w:rsidRPr="005B3ABD">
        <w:rPr>
          <w:rStyle w:val="HideTWBExt"/>
          <w:b w:val="0"/>
          <w:noProof w:val="0"/>
          <w:color w:val="auto"/>
        </w:rPr>
        <w:t>&lt;/NumAm&gt;</w:t>
      </w:r>
    </w:p>
    <w:p w14:paraId="24F7BC18" w14:textId="77777777" w:rsidR="003B40DD" w:rsidRPr="005B3ABD" w:rsidRDefault="003B40DD" w:rsidP="003B40DD">
      <w:pPr>
        <w:pStyle w:val="NormalBold12b"/>
        <w:keepNext/>
      </w:pPr>
      <w:r w:rsidRPr="005B3ABD">
        <w:rPr>
          <w:rStyle w:val="HideTWBExt"/>
          <w:b w:val="0"/>
          <w:noProof w:val="0"/>
          <w:color w:val="auto"/>
        </w:rPr>
        <w:t>&lt;DocAmend&gt;</w:t>
      </w:r>
      <w:r w:rsidRPr="005B3ABD">
        <w:t>Proposal for a regulation</w:t>
      </w:r>
      <w:r w:rsidRPr="005B3ABD">
        <w:rPr>
          <w:rStyle w:val="HideTWBExt"/>
          <w:b w:val="0"/>
          <w:noProof w:val="0"/>
          <w:color w:val="auto"/>
        </w:rPr>
        <w:t>&lt;/DocAmend&gt;</w:t>
      </w:r>
    </w:p>
    <w:p w14:paraId="4EF7B7BD" w14:textId="77777777" w:rsidR="003B40DD" w:rsidRPr="005B3ABD" w:rsidRDefault="003B40DD" w:rsidP="003B40DD">
      <w:pPr>
        <w:pStyle w:val="NormalBold"/>
      </w:pPr>
      <w:r w:rsidRPr="005B3ABD">
        <w:rPr>
          <w:rStyle w:val="HideTWBExt"/>
          <w:b w:val="0"/>
          <w:noProof w:val="0"/>
          <w:color w:val="auto"/>
        </w:rPr>
        <w:t>&lt;Article&gt;</w:t>
      </w:r>
      <w:r w:rsidRPr="005B3ABD">
        <w:t>Article 7 – paragraph 2 b (new)</w:t>
      </w:r>
      <w:r w:rsidRPr="005B3AB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0DD" w:rsidRPr="005B3ABD" w14:paraId="02B21A1B" w14:textId="77777777" w:rsidTr="00882D36">
        <w:trPr>
          <w:jc w:val="center"/>
        </w:trPr>
        <w:tc>
          <w:tcPr>
            <w:tcW w:w="9752" w:type="dxa"/>
            <w:gridSpan w:val="2"/>
          </w:tcPr>
          <w:p w14:paraId="1050B165" w14:textId="77777777" w:rsidR="003B40DD" w:rsidRPr="005B3ABD" w:rsidRDefault="003B40DD" w:rsidP="00882D36">
            <w:pPr>
              <w:keepNext/>
            </w:pPr>
          </w:p>
        </w:tc>
      </w:tr>
      <w:tr w:rsidR="003B40DD" w:rsidRPr="005B3ABD" w14:paraId="0080B1E7" w14:textId="77777777" w:rsidTr="00882D36">
        <w:trPr>
          <w:jc w:val="center"/>
        </w:trPr>
        <w:tc>
          <w:tcPr>
            <w:tcW w:w="4876" w:type="dxa"/>
          </w:tcPr>
          <w:p w14:paraId="05A029F2" w14:textId="77777777" w:rsidR="003B40DD" w:rsidRPr="005B3ABD" w:rsidRDefault="003B40DD" w:rsidP="00882D36">
            <w:pPr>
              <w:pStyle w:val="ColumnHeading"/>
              <w:keepNext/>
              <w:rPr>
                <w:color w:val="0000FA"/>
              </w:rPr>
            </w:pPr>
            <w:r w:rsidRPr="005B3ABD">
              <w:t>Text proposed by the Commission</w:t>
            </w:r>
          </w:p>
        </w:tc>
        <w:tc>
          <w:tcPr>
            <w:tcW w:w="4876" w:type="dxa"/>
          </w:tcPr>
          <w:p w14:paraId="6C75DBDE" w14:textId="77777777" w:rsidR="003B40DD" w:rsidRPr="005B3ABD" w:rsidRDefault="003B40DD" w:rsidP="00882D36">
            <w:pPr>
              <w:pStyle w:val="ColumnHeading"/>
              <w:keepNext/>
              <w:rPr>
                <w:color w:val="0000F5"/>
              </w:rPr>
            </w:pPr>
            <w:r w:rsidRPr="005B3ABD">
              <w:t>Amendment</w:t>
            </w:r>
          </w:p>
        </w:tc>
      </w:tr>
      <w:tr w:rsidR="003B40DD" w:rsidRPr="005B3ABD" w14:paraId="5FA0B084" w14:textId="77777777" w:rsidTr="00882D36">
        <w:trPr>
          <w:jc w:val="center"/>
        </w:trPr>
        <w:tc>
          <w:tcPr>
            <w:tcW w:w="4876" w:type="dxa"/>
          </w:tcPr>
          <w:p w14:paraId="6435A296" w14:textId="77777777" w:rsidR="003B40DD" w:rsidRPr="005B3ABD" w:rsidRDefault="003B40DD" w:rsidP="00882D36">
            <w:pPr>
              <w:pStyle w:val="Normal6"/>
              <w:rPr>
                <w:color w:val="0000FA"/>
              </w:rPr>
            </w:pPr>
          </w:p>
        </w:tc>
        <w:tc>
          <w:tcPr>
            <w:tcW w:w="4876" w:type="dxa"/>
          </w:tcPr>
          <w:p w14:paraId="78AB531E" w14:textId="77777777" w:rsidR="003B40DD" w:rsidRPr="005B3ABD" w:rsidRDefault="003B40DD" w:rsidP="00882D36">
            <w:pPr>
              <w:pStyle w:val="Normal6"/>
              <w:rPr>
                <w:szCs w:val="24"/>
              </w:rPr>
            </w:pPr>
            <w:r w:rsidRPr="005B3ABD">
              <w:rPr>
                <w:b/>
                <w:i/>
              </w:rPr>
              <w:t>Article 119(1), point g(b) and Article 119(3)(a) shall apply from ... [two years after the delegated act has entered into force]</w:t>
            </w:r>
          </w:p>
        </w:tc>
      </w:tr>
    </w:tbl>
    <w:p w14:paraId="32A0934B" w14:textId="77777777" w:rsidR="003B40DD" w:rsidRPr="005B3ABD" w:rsidRDefault="003B40DD" w:rsidP="003B40DD">
      <w:pPr>
        <w:pStyle w:val="Olang"/>
        <w:rPr>
          <w:noProof w:val="0"/>
          <w:szCs w:val="24"/>
        </w:rPr>
      </w:pPr>
      <w:r w:rsidRPr="005B3ABD">
        <w:rPr>
          <w:noProof w:val="0"/>
          <w:szCs w:val="24"/>
        </w:rPr>
        <w:t xml:space="preserve">Or. </w:t>
      </w:r>
      <w:r w:rsidRPr="005B3ABD">
        <w:rPr>
          <w:rStyle w:val="HideTWBExt"/>
          <w:noProof w:val="0"/>
          <w:color w:val="auto"/>
        </w:rPr>
        <w:t>&lt;Original&gt;</w:t>
      </w:r>
      <w:r w:rsidRPr="005B3ABD">
        <w:rPr>
          <w:rStyle w:val="HideTWBInt"/>
          <w:noProof w:val="0"/>
          <w:color w:val="auto"/>
          <w:szCs w:val="24"/>
        </w:rPr>
        <w:t>{FR}</w:t>
      </w:r>
      <w:r w:rsidRPr="005B3ABD">
        <w:rPr>
          <w:noProof w:val="0"/>
          <w:szCs w:val="24"/>
        </w:rPr>
        <w:t>fr</w:t>
      </w:r>
      <w:r w:rsidRPr="005B3ABD">
        <w:rPr>
          <w:rStyle w:val="HideTWBExt"/>
          <w:noProof w:val="0"/>
          <w:color w:val="auto"/>
        </w:rPr>
        <w:t>&lt;/Original&gt;</w:t>
      </w:r>
    </w:p>
    <w:p w14:paraId="553F67D5" w14:textId="77777777" w:rsidR="003B40DD" w:rsidRPr="005B3ABD" w:rsidRDefault="003B40DD" w:rsidP="003B40DD">
      <w:pPr>
        <w:pStyle w:val="JustificationTitle"/>
      </w:pPr>
      <w:r w:rsidRPr="005B3ABD">
        <w:rPr>
          <w:rStyle w:val="HideTWBExt"/>
          <w:i w:val="0"/>
          <w:noProof w:val="0"/>
          <w:color w:val="auto"/>
        </w:rPr>
        <w:t>&lt;TitreJust&gt;</w:t>
      </w:r>
      <w:r w:rsidRPr="005B3ABD">
        <w:t>Justification</w:t>
      </w:r>
      <w:r w:rsidRPr="005B3ABD">
        <w:rPr>
          <w:rStyle w:val="HideTWBExt"/>
          <w:i w:val="0"/>
          <w:noProof w:val="0"/>
          <w:color w:val="auto"/>
        </w:rPr>
        <w:t>&lt;/TitreJust&gt;</w:t>
      </w:r>
    </w:p>
    <w:p w14:paraId="7C7F2A12" w14:textId="77777777" w:rsidR="003B40DD" w:rsidRPr="005B3ABD" w:rsidRDefault="003B40DD" w:rsidP="003B40DD">
      <w:pPr>
        <w:pStyle w:val="Normal12Italic"/>
      </w:pPr>
      <w:r w:rsidRPr="005B3ABD">
        <w:t>The provisions on the mandatory stating of the list of ingredients on the label shall enter into force one year after the delegated act has been adopted.</w:t>
      </w:r>
    </w:p>
    <w:p w14:paraId="6244A1AB" w14:textId="198E27E7" w:rsidR="003B40DD" w:rsidRPr="005B3ABD" w:rsidRDefault="003B40DD" w:rsidP="003B40DD">
      <w:r w:rsidRPr="005B3ABD">
        <w:rPr>
          <w:rStyle w:val="HideTWBExt"/>
          <w:noProof w:val="0"/>
          <w:color w:val="auto"/>
        </w:rPr>
        <w:t>&lt;/Amend&gt;&lt;/RepeatBlock-Amend&gt;</w:t>
      </w:r>
    </w:p>
    <w:p w14:paraId="40A8A502" w14:textId="304AB614" w:rsidR="0025061A" w:rsidRPr="005B3ABD" w:rsidRDefault="0025061A" w:rsidP="0025061A"/>
    <w:p w14:paraId="20CF279A" w14:textId="77777777" w:rsidR="0025061A" w:rsidRPr="005B3ABD" w:rsidRDefault="0025061A" w:rsidP="0025061A"/>
    <w:p w14:paraId="462F0BAC" w14:textId="77777777" w:rsidR="0025061A" w:rsidRPr="005B3ABD" w:rsidRDefault="0025061A" w:rsidP="00352B84">
      <w:pPr>
        <w:rPr>
          <w:szCs w:val="24"/>
        </w:rPr>
      </w:pPr>
    </w:p>
    <w:p w14:paraId="3B017467" w14:textId="77777777" w:rsidR="009D2C84" w:rsidRPr="005B3ABD" w:rsidRDefault="00352B84" w:rsidP="009D2C84">
      <w:pPr>
        <w:pStyle w:val="PageHeading"/>
      </w:pPr>
      <w:r w:rsidRPr="005B3ABD">
        <w:br w:type="page"/>
      </w:r>
      <w:bookmarkStart w:id="2" w:name="_Toc529445190"/>
      <w:bookmarkStart w:id="3" w:name="_Toc529454715"/>
      <w:r w:rsidR="009D2C84" w:rsidRPr="005B3ABD">
        <w:lastRenderedPageBreak/>
        <w:t>EXPLANATORY STATEMENT</w:t>
      </w:r>
      <w:bookmarkEnd w:id="2"/>
      <w:bookmarkEnd w:id="3"/>
    </w:p>
    <w:p w14:paraId="41DB7354" w14:textId="77777777" w:rsidR="009D2C84" w:rsidRPr="005B3ABD" w:rsidRDefault="009D2C84" w:rsidP="009D2C84"/>
    <w:p w14:paraId="1AE4242D" w14:textId="77777777" w:rsidR="009D2C84" w:rsidRPr="005B3ABD" w:rsidRDefault="009D2C84" w:rsidP="009D2C84">
      <w:pPr>
        <w:spacing w:after="120"/>
        <w:rPr>
          <w:szCs w:val="24"/>
        </w:rPr>
      </w:pPr>
      <w:r w:rsidRPr="005B3ABD">
        <w:t>The draft reform of the Common Agricultural Policy (CAP) proposed by the Commission is not equal to the challenges. Since 2014, the farm income crisis has affected most sectors with a somewhat larger impact on generational renewal in the farming population. European consumers have never attached more importance to what they eat and cannot understand why the Union does not do more to ensure the quality of products and the dignity of those who produce them.</w:t>
      </w:r>
    </w:p>
    <w:p w14:paraId="3D4C90D7" w14:textId="77777777" w:rsidR="009D2C84" w:rsidRPr="005B3ABD" w:rsidRDefault="009D2C84" w:rsidP="009D2C84">
      <w:pPr>
        <w:spacing w:after="120"/>
        <w:rPr>
          <w:szCs w:val="24"/>
        </w:rPr>
      </w:pPr>
    </w:p>
    <w:p w14:paraId="3D5D4E50" w14:textId="77777777" w:rsidR="009D2C84" w:rsidRPr="005B3ABD" w:rsidRDefault="009D2C84" w:rsidP="009D2C84">
      <w:pPr>
        <w:spacing w:after="120"/>
        <w:rPr>
          <w:szCs w:val="24"/>
        </w:rPr>
      </w:pPr>
      <w:r w:rsidRPr="005B3ABD">
        <w:t>It is time to take stock of the myths of the 1990s when market-orientation was erected as a totem of CAP while the monopolistic concentration of the agro-supply, food and distribution sectors had never been stronger. As multilateralism is running out of steam and making way for an unprecedented trade war, the Union needs to find a certain strategic autonomy and retrieve the attributes of its food sovereignty, unless it wants to see its inefficiency become an increasingly fertile ground for those who want to undermine the construction of Europe.</w:t>
      </w:r>
    </w:p>
    <w:p w14:paraId="3F923478" w14:textId="77777777" w:rsidR="009D2C84" w:rsidRPr="005B3ABD" w:rsidRDefault="009D2C84" w:rsidP="009D2C84">
      <w:pPr>
        <w:spacing w:after="120"/>
        <w:rPr>
          <w:szCs w:val="24"/>
        </w:rPr>
      </w:pPr>
    </w:p>
    <w:p w14:paraId="66F3BE87" w14:textId="77777777" w:rsidR="009D2C84" w:rsidRPr="005B3ABD" w:rsidRDefault="009D2C84" w:rsidP="009D2C84">
      <w:pPr>
        <w:spacing w:after="120"/>
        <w:rPr>
          <w:szCs w:val="24"/>
        </w:rPr>
      </w:pPr>
      <w:r w:rsidRPr="005B3ABD">
        <w:t>Without any illusion regarding the possibility of concluding negotiations before the end of the mandate, due to a too late start and uncertainties regarding the next Multiannual Financial Framework, the Rapporteur chose to use the Commission’s proposal, which is highly insufficient, to advance the idea of a necessary in-depth reform of the CMO Regulation that would turn it into a veritable agricultural crisis management regulation.</w:t>
      </w:r>
    </w:p>
    <w:p w14:paraId="2FE12034" w14:textId="77777777" w:rsidR="009D2C84" w:rsidRPr="005B3ABD" w:rsidRDefault="009D2C84" w:rsidP="009D2C84">
      <w:pPr>
        <w:spacing w:after="120"/>
        <w:rPr>
          <w:szCs w:val="24"/>
        </w:rPr>
      </w:pPr>
    </w:p>
    <w:p w14:paraId="6A9D3897" w14:textId="77777777" w:rsidR="009D2C84" w:rsidRPr="005B3ABD" w:rsidRDefault="009D2C84" w:rsidP="009D2C84">
      <w:pPr>
        <w:spacing w:after="120"/>
        <w:rPr>
          <w:szCs w:val="24"/>
        </w:rPr>
      </w:pPr>
      <w:r w:rsidRPr="005B3ABD">
        <w:t>The end of export subsidies as proposed by the Commission is necessary considering our international commitments. Even so, if we are to stop exporting imbalances in our internal market, we shall need levers for action to manage crises. The tools are already present in the Regulation, and were reinforced by the 2013 reform. The introduction of an aid for the voluntary reduction of milk production in 2016 demonstrated that tools such as these are efficient and could find consensus in the Union. But greater responsiveness is needed in mobilising tools for a true steering of the common market, and a review of the crisis reserve as proposed by the Commission will contribute thereto. For the Rapporteur, it is not about limiting the Commission’s powers and returning to an automatic triggering of the tools, on the contrary: the Commission must be empowered by enabling it, like any other management authority, to establish an action plan in the scope of a performance framework that will form the basis of a dialogue with the Parliament and the Council.</w:t>
      </w:r>
    </w:p>
    <w:p w14:paraId="2C90E08F" w14:textId="77777777" w:rsidR="009D2C84" w:rsidRPr="005B3ABD" w:rsidRDefault="009D2C84" w:rsidP="009D2C84">
      <w:pPr>
        <w:spacing w:after="120"/>
        <w:rPr>
          <w:szCs w:val="24"/>
        </w:rPr>
      </w:pPr>
    </w:p>
    <w:p w14:paraId="4D039069" w14:textId="77777777" w:rsidR="009D2C84" w:rsidRPr="005B3ABD" w:rsidRDefault="009D2C84" w:rsidP="009D2C84">
      <w:pPr>
        <w:spacing w:after="120"/>
        <w:rPr>
          <w:szCs w:val="24"/>
        </w:rPr>
      </w:pPr>
      <w:r w:rsidRPr="005B3ABD">
        <w:t>Public intervention (public storage) should continue to provide a safety net of last resort when prices are already below their equilibrium level, but other tools could be mobilised to avoid building up excessive stocks. The Rapporteur proposes that the majority of sectors that are eligible for private storage aid should also be allowed to benefit from a public safety net. It furthermore proposes a new trigger criterion for additional import duties to update trigger prices and volumes that have not changed for more than twenty years.</w:t>
      </w:r>
    </w:p>
    <w:p w14:paraId="1CC7EA68" w14:textId="77777777" w:rsidR="009D2C84" w:rsidRPr="005B3ABD" w:rsidRDefault="009D2C84" w:rsidP="009D2C84">
      <w:pPr>
        <w:spacing w:after="120"/>
        <w:rPr>
          <w:szCs w:val="24"/>
        </w:rPr>
      </w:pPr>
    </w:p>
    <w:p w14:paraId="3C785E97" w14:textId="77777777" w:rsidR="009D2C84" w:rsidRPr="005B3ABD" w:rsidRDefault="009D2C84" w:rsidP="009D2C84">
      <w:pPr>
        <w:spacing w:after="120"/>
        <w:rPr>
          <w:szCs w:val="24"/>
        </w:rPr>
      </w:pPr>
      <w:r w:rsidRPr="005B3ABD">
        <w:t xml:space="preserve">To initiate the development of a crisis-management action plan for the Commission, the </w:t>
      </w:r>
      <w:r w:rsidRPr="005B3ABD">
        <w:lastRenderedPageBreak/>
        <w:t xml:space="preserve">Rapporteur will ask for two reports to be drafted: the first on responses to address a possible post-Brexit crisis; the second on the characterisation of different types of agricultural market crises. </w:t>
      </w:r>
    </w:p>
    <w:p w14:paraId="70D19348" w14:textId="77777777" w:rsidR="009D2C84" w:rsidRPr="005B3ABD" w:rsidRDefault="009D2C84" w:rsidP="009D2C84">
      <w:pPr>
        <w:spacing w:after="120"/>
        <w:rPr>
          <w:szCs w:val="24"/>
        </w:rPr>
      </w:pPr>
    </w:p>
    <w:p w14:paraId="330C157D" w14:textId="77777777" w:rsidR="009D2C84" w:rsidRPr="005B3ABD" w:rsidRDefault="009D2C84" w:rsidP="009D2C84">
      <w:pPr>
        <w:spacing w:after="120"/>
        <w:rPr>
          <w:szCs w:val="24"/>
        </w:rPr>
      </w:pPr>
      <w:r w:rsidRPr="005B3ABD">
        <w:t>The entire CAP cannot depend on Member States and national strategic plans. The Commission will have to remain the guarantor for the integrity of the common market in the face of crises. Moreover, without significantly improving the remuneration conditions of farmers through a better regulation of markets that will safeguard farmers during environmental transition, the CAP will remain inefficient with regard to environmental issues as well as climate change.</w:t>
      </w:r>
    </w:p>
    <w:p w14:paraId="71A11846" w14:textId="77777777" w:rsidR="009D2C84" w:rsidRPr="005B3ABD" w:rsidRDefault="009D2C84" w:rsidP="009D2C84">
      <w:pPr>
        <w:spacing w:after="120"/>
        <w:rPr>
          <w:szCs w:val="24"/>
        </w:rPr>
      </w:pPr>
    </w:p>
    <w:p w14:paraId="4C2D3AA7" w14:textId="77777777" w:rsidR="009D2C84" w:rsidRPr="005B3ABD" w:rsidRDefault="009D2C84" w:rsidP="009D2C84">
      <w:pPr>
        <w:spacing w:after="120"/>
        <w:rPr>
          <w:szCs w:val="24"/>
        </w:rPr>
      </w:pPr>
      <w:r w:rsidRPr="005B3ABD">
        <w:t>The Rapporteur supports the Commission’s approach in favour of further empowering Member States and farmers for instance through stronger farmer organisations. But this should not happen at the expense of the Regions and the Commission must define its role in public crisis management to ensure an adequate complementarity with private risk management by farmers and their organisations. Financial precautions such as insurance and mutual funds must not substitute public intervention as these are of no use when faced with markets that are depressed over the long term or suffering from malfunctions due to imbalances in negotiating powers.</w:t>
      </w:r>
    </w:p>
    <w:p w14:paraId="7E2FF101" w14:textId="77777777" w:rsidR="009D2C84" w:rsidRPr="005B3ABD" w:rsidRDefault="009D2C84" w:rsidP="009D2C84">
      <w:pPr>
        <w:spacing w:after="120"/>
        <w:rPr>
          <w:szCs w:val="24"/>
        </w:rPr>
      </w:pPr>
      <w:r w:rsidRPr="005B3ABD">
        <w:t>To push ahead in the empowerment of economic players, the Rapporteur proposes, subsequent to the considerable work done by the Parliament in the negotiation of the Omnibus Regulation, to remove any remaining uncertainties regarding the possibilities given to farmers to be better organised, in line with the precedent established in the ‘Endives’ case. However, the Rapporteur asks for Article 222, the so-called ‘pro-cartel’ article, to be deleted, since authorising agreements, even temporarily, to deal with the consequences of excessive deregulation, is not an acceptable solution.</w:t>
      </w:r>
    </w:p>
    <w:p w14:paraId="103DB97D" w14:textId="77777777" w:rsidR="009D2C84" w:rsidRPr="005B3ABD" w:rsidRDefault="009D2C84" w:rsidP="009D2C84">
      <w:pPr>
        <w:spacing w:after="120"/>
        <w:rPr>
          <w:szCs w:val="24"/>
        </w:rPr>
      </w:pPr>
    </w:p>
    <w:p w14:paraId="2B01A948" w14:textId="77777777" w:rsidR="009D2C84" w:rsidRPr="005B3ABD" w:rsidRDefault="009D2C84" w:rsidP="009D2C84">
      <w:pPr>
        <w:spacing w:after="120"/>
        <w:rPr>
          <w:szCs w:val="24"/>
        </w:rPr>
      </w:pPr>
      <w:r w:rsidRPr="005B3ABD">
        <w:t>The Rapporteur proposes to extend the provisions on supply control that currently applies to cheese, ham and wine, to all sectors with a protected designation of origin or protected geographical indication, but also to all products covered by a quality label and any additional optional reserved terms in particular relating to health.</w:t>
      </w:r>
    </w:p>
    <w:p w14:paraId="79C803D2" w14:textId="77777777" w:rsidR="009D2C84" w:rsidRPr="005B3ABD" w:rsidRDefault="009D2C84" w:rsidP="009D2C84">
      <w:pPr>
        <w:spacing w:after="120"/>
        <w:rPr>
          <w:szCs w:val="24"/>
        </w:rPr>
      </w:pPr>
    </w:p>
    <w:p w14:paraId="0947993C" w14:textId="77777777" w:rsidR="009D2C84" w:rsidRPr="005B3ABD" w:rsidRDefault="009D2C84" w:rsidP="009D2C84">
      <w:pPr>
        <w:spacing w:after="120"/>
        <w:rPr>
          <w:szCs w:val="24"/>
        </w:rPr>
      </w:pPr>
      <w:r w:rsidRPr="005B3ABD">
        <w:t>If better organised, farmers will be able to obtain a fairer share in added value in the different sectors. The complementarity between private and public risk management should lead to better functioning markets and therefore increase the proportion of farm income that is derived from the marketing of farming products.</w:t>
      </w:r>
    </w:p>
    <w:p w14:paraId="1ACE55B6" w14:textId="77777777" w:rsidR="009D2C84" w:rsidRPr="005B3ABD" w:rsidRDefault="009D2C84" w:rsidP="009D2C84">
      <w:pPr>
        <w:spacing w:after="120"/>
        <w:rPr>
          <w:szCs w:val="24"/>
        </w:rPr>
      </w:pPr>
    </w:p>
    <w:p w14:paraId="78BAE275" w14:textId="77777777" w:rsidR="009D2C84" w:rsidRPr="005B3ABD" w:rsidRDefault="009D2C84" w:rsidP="009D2C84">
      <w:pPr>
        <w:spacing w:after="120"/>
        <w:rPr>
          <w:szCs w:val="24"/>
        </w:rPr>
      </w:pPr>
      <w:r w:rsidRPr="005B3ABD">
        <w:t xml:space="preserve">The Rapporteur thus proposes a mid-term review clause for 30 June 2024 to improve the overall efficiency of the Strategic Plan and CMO Regulations. Strategies will be considered to exit from decoupled aids that will continue to draw increasing criticism from our international partners as in the United States’ recent attack against Spanish table olives. In the longer term, it will be necessary to abandon the silo approach in order to align all the levers that will allow a countercyclical steering of markets and revenues, including a substantially reinforced food aid programme and a more flexible agro-fuel policy to give food safety priority over non-food </w:t>
      </w:r>
      <w:r w:rsidRPr="005B3ABD">
        <w:lastRenderedPageBreak/>
        <w:t>uses and to act as a buffer against agricultural market instability.</w:t>
      </w:r>
    </w:p>
    <w:p w14:paraId="348E9D50" w14:textId="77777777" w:rsidR="009D2C84" w:rsidRPr="005B3ABD" w:rsidRDefault="009D2C84" w:rsidP="009D2C84">
      <w:pPr>
        <w:spacing w:after="120"/>
        <w:rPr>
          <w:szCs w:val="24"/>
        </w:rPr>
      </w:pPr>
    </w:p>
    <w:p w14:paraId="5E35D4D0" w14:textId="77777777" w:rsidR="009D2C84" w:rsidRPr="005B3ABD" w:rsidRDefault="009D2C84" w:rsidP="009D2C84">
      <w:pPr>
        <w:spacing w:after="120"/>
        <w:rPr>
          <w:szCs w:val="24"/>
        </w:rPr>
      </w:pPr>
      <w:r w:rsidRPr="005B3ABD">
        <w:t>The Rapporteur notes that the Commission’s proposal contains no provisions on regulatory developments introduced in reviews of financial directives and regulations (Barnier Directives), whereas agricultural raw materials now form part of the supervisory framework covered by financial market regulation authorities. Article 25.1 of Regulation No 596/2014 and Article 79.7 of Directive 65/2014 however refer to this Regulation and lay down cooperation duties for the Commission in terms of agricultural products.</w:t>
      </w:r>
    </w:p>
    <w:p w14:paraId="523205BB" w14:textId="77777777" w:rsidR="009D2C84" w:rsidRPr="005B3ABD" w:rsidRDefault="009D2C84" w:rsidP="009D2C84">
      <w:pPr>
        <w:spacing w:after="120"/>
        <w:rPr>
          <w:szCs w:val="24"/>
        </w:rPr>
      </w:pPr>
    </w:p>
    <w:p w14:paraId="6412AC6D" w14:textId="77777777" w:rsidR="009D2C84" w:rsidRPr="005B3ABD" w:rsidRDefault="009D2C84" w:rsidP="009D2C84">
      <w:pPr>
        <w:spacing w:after="120"/>
        <w:rPr>
          <w:szCs w:val="24"/>
        </w:rPr>
      </w:pPr>
      <w:r w:rsidRPr="005B3ABD">
        <w:t xml:space="preserve"> To compensate for this shortcoming which is characteristic of the marginalisation of agriculture services within the Commission, the Rapporteur proposes to refer to this cooperation duty and to add provisions for the automatic transfer of information from Member States to the Commission, in particular information on import certificates or public storage. Article 223 should also be supplemented by giving the Commission the power to enforce the use of electronic exchange platforms to increase transparency in the most opaque off-exchange markets.</w:t>
      </w:r>
    </w:p>
    <w:p w14:paraId="3B6DB51A" w14:textId="77777777" w:rsidR="009D2C84" w:rsidRPr="005B3ABD" w:rsidRDefault="009D2C84" w:rsidP="009D2C84">
      <w:pPr>
        <w:spacing w:after="120"/>
        <w:rPr>
          <w:szCs w:val="24"/>
        </w:rPr>
      </w:pPr>
    </w:p>
    <w:p w14:paraId="7AC988AC" w14:textId="77777777" w:rsidR="009D2C84" w:rsidRPr="005B3ABD" w:rsidRDefault="009D2C84" w:rsidP="009D2C84">
      <w:pPr>
        <w:spacing w:after="120"/>
        <w:rPr>
          <w:szCs w:val="24"/>
        </w:rPr>
      </w:pPr>
      <w:r w:rsidRPr="005B3ABD">
        <w:t>More in general, the Rapporteur asks for a report on the use of new information and communication technologies, in particular blockchain technology, to improve the functioning of markets and reduce the administrative burden. While the Task Force report on the functioning of agricultural markets brought up this matter in 2016, the Commission has made no proposal in this respect, even though simplification and modernisation are supposed to be the keywords here.</w:t>
      </w:r>
    </w:p>
    <w:p w14:paraId="208D33B6" w14:textId="77777777" w:rsidR="009D2C84" w:rsidRPr="005B3ABD" w:rsidRDefault="009D2C84" w:rsidP="009D2C84">
      <w:pPr>
        <w:spacing w:after="120"/>
        <w:rPr>
          <w:szCs w:val="24"/>
        </w:rPr>
      </w:pPr>
    </w:p>
    <w:p w14:paraId="64057F18" w14:textId="77777777" w:rsidR="009D2C84" w:rsidRPr="005B3ABD" w:rsidRDefault="009D2C84" w:rsidP="009D2C84">
      <w:pPr>
        <w:spacing w:after="120"/>
        <w:rPr>
          <w:szCs w:val="24"/>
        </w:rPr>
      </w:pPr>
      <w:r w:rsidRPr="005B3ABD">
        <w:t>The Rapporteur also proposes to expand the powers of interbranch organisations in terms of transparency and quality. In line with the Commission’s proposal on compliance with community standards for wines in transit, the Rapporteur proposes to increase the number of products concerned by marketing rules in order to move towards more equal treatment between European farmers and farmers in third countries.</w:t>
      </w:r>
    </w:p>
    <w:p w14:paraId="41E99B7A" w14:textId="77777777" w:rsidR="009D2C84" w:rsidRPr="005B3ABD" w:rsidRDefault="009D2C84" w:rsidP="009D2C84">
      <w:pPr>
        <w:spacing w:after="120"/>
        <w:rPr>
          <w:szCs w:val="24"/>
        </w:rPr>
      </w:pPr>
    </w:p>
    <w:p w14:paraId="39FE7668" w14:textId="77777777" w:rsidR="009D2C84" w:rsidRPr="005B3ABD" w:rsidRDefault="009D2C84" w:rsidP="009D2C84">
      <w:pPr>
        <w:spacing w:after="120"/>
        <w:rPr>
          <w:szCs w:val="24"/>
        </w:rPr>
      </w:pPr>
      <w:r w:rsidRPr="005B3ABD">
        <w:t>As for provisions concerning the wine industry, the Rapporteur calls for the scheme of authorisations for vine plantings to be extended beyond 2030, and for the assessment obligation to be maintained until 2023 to allow trade organisations to express themselves. The Rapporteur objects to the Commission’s proposal to change the definition of protected designations of origin to be in line with that in the TRIPS Agreement and asks instead that the definition of the international Lisbon Agreement be taken over. The Rapporteur approves the Commission’s proposal to authorise the use of new wine grape varieties, including for wines with a designation of origin.</w:t>
      </w:r>
    </w:p>
    <w:p w14:paraId="72113A83" w14:textId="77777777" w:rsidR="009D2C84" w:rsidRPr="005B3ABD" w:rsidRDefault="009D2C84" w:rsidP="009D2C84">
      <w:pPr>
        <w:spacing w:after="120"/>
        <w:rPr>
          <w:szCs w:val="24"/>
        </w:rPr>
      </w:pPr>
    </w:p>
    <w:p w14:paraId="19FE9F6A" w14:textId="77777777" w:rsidR="009D2C84" w:rsidRPr="005B3ABD" w:rsidRDefault="009D2C84" w:rsidP="009D2C84">
      <w:pPr>
        <w:spacing w:after="120"/>
        <w:rPr>
          <w:szCs w:val="24"/>
        </w:rPr>
      </w:pPr>
      <w:r w:rsidRPr="005B3ABD">
        <w:t xml:space="preserve">The Rapporteur considers that de-alcoholised wines cannot benefit from the same regime as wine as these do not correspond to the definition of wine in Annex VII Part II of the CMO Regulation. The absence of alcohol has to be compensated by adding artificial aromas, which implies an industrial process. The Rapporteur considers it important to respond to consumers' demand for transparency. Information on the calories and ingredients contained in a wine </w:t>
      </w:r>
      <w:r w:rsidRPr="005B3ABD">
        <w:lastRenderedPageBreak/>
        <w:t>should be able to feature on the label or in electronic format for the latter.</w:t>
      </w:r>
    </w:p>
    <w:sectPr w:rsidR="009D2C84" w:rsidRPr="005B3ABD" w:rsidSect="00E11D4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6CA2" w14:textId="77777777" w:rsidR="00912CFD" w:rsidRPr="00806E6B" w:rsidRDefault="00912CFD">
      <w:r w:rsidRPr="00806E6B">
        <w:separator/>
      </w:r>
    </w:p>
  </w:endnote>
  <w:endnote w:type="continuationSeparator" w:id="0">
    <w:p w14:paraId="37592FCC" w14:textId="77777777" w:rsidR="00912CFD" w:rsidRPr="00806E6B" w:rsidRDefault="00912CFD">
      <w:r w:rsidRPr="00806E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6F2B" w14:textId="59CB003E" w:rsidR="00E11D46" w:rsidRPr="00806E6B" w:rsidRDefault="00E11D46" w:rsidP="00E11D46">
    <w:pPr>
      <w:pStyle w:val="Footer"/>
    </w:pPr>
    <w:r w:rsidRPr="00806E6B">
      <w:t>PE</w:t>
    </w:r>
    <w:r w:rsidRPr="00806E6B">
      <w:rPr>
        <w:rStyle w:val="HideTWBExt"/>
        <w:noProof w:val="0"/>
      </w:rPr>
      <w:t>&lt;NoPE&gt;</w:t>
    </w:r>
    <w:r w:rsidRPr="00806E6B">
      <w:t>623.922</w:t>
    </w:r>
    <w:r w:rsidRPr="00806E6B">
      <w:rPr>
        <w:rStyle w:val="HideTWBExt"/>
        <w:noProof w:val="0"/>
      </w:rPr>
      <w:t>&lt;/NoPE&gt;&lt;Version&gt;</w:t>
    </w:r>
    <w:r w:rsidRPr="00806E6B">
      <w:t>v01-00</w:t>
    </w:r>
    <w:r w:rsidRPr="00806E6B">
      <w:rPr>
        <w:rStyle w:val="HideTWBExt"/>
        <w:noProof w:val="0"/>
      </w:rPr>
      <w:t>&lt;/Version&gt;</w:t>
    </w:r>
    <w:r w:rsidRPr="00806E6B">
      <w:tab/>
    </w:r>
    <w:r w:rsidRPr="00806E6B">
      <w:fldChar w:fldCharType="begin"/>
    </w:r>
    <w:r w:rsidRPr="00806E6B">
      <w:instrText xml:space="preserve"> PAGE  \* MERGEFORMAT </w:instrText>
    </w:r>
    <w:r w:rsidRPr="00806E6B">
      <w:fldChar w:fldCharType="separate"/>
    </w:r>
    <w:r w:rsidR="00656F11">
      <w:rPr>
        <w:noProof/>
      </w:rPr>
      <w:t>79</w:t>
    </w:r>
    <w:r w:rsidRPr="00806E6B">
      <w:fldChar w:fldCharType="end"/>
    </w:r>
    <w:r w:rsidRPr="00806E6B">
      <w:t>/</w:t>
    </w:r>
    <w:r w:rsidR="00656F11" w:rsidRPr="00806E6B">
      <w:fldChar w:fldCharType="begin"/>
    </w:r>
    <w:r w:rsidR="00656F11" w:rsidRPr="00806E6B">
      <w:instrText xml:space="preserve"> NUMPAGES  \* MERGEFORMAT </w:instrText>
    </w:r>
    <w:r w:rsidR="00656F11" w:rsidRPr="00806E6B">
      <w:fldChar w:fldCharType="separate"/>
    </w:r>
    <w:r w:rsidR="00656F11">
      <w:rPr>
        <w:noProof/>
      </w:rPr>
      <w:t>79</w:t>
    </w:r>
    <w:r w:rsidR="00656F11" w:rsidRPr="00806E6B">
      <w:fldChar w:fldCharType="end"/>
    </w:r>
    <w:r w:rsidRPr="00806E6B">
      <w:tab/>
    </w:r>
    <w:r w:rsidRPr="00806E6B">
      <w:rPr>
        <w:rStyle w:val="HideTWBExt"/>
        <w:noProof w:val="0"/>
      </w:rPr>
      <w:t>&lt;PathFdR&gt;</w:t>
    </w:r>
    <w:r w:rsidRPr="00806E6B">
      <w:t>PR\1167245EN.docx</w:t>
    </w:r>
    <w:r w:rsidRPr="00806E6B">
      <w:rPr>
        <w:rStyle w:val="HideTWBExt"/>
        <w:noProof w:val="0"/>
      </w:rPr>
      <w:t>&lt;/PathFdR&gt;</w:t>
    </w:r>
  </w:p>
  <w:p w14:paraId="1F677034" w14:textId="2ECDE49F" w:rsidR="00912CFD" w:rsidRPr="00806E6B" w:rsidRDefault="00E11D46" w:rsidP="00E11D46">
    <w:pPr>
      <w:pStyle w:val="Footer2"/>
    </w:pPr>
    <w:r w:rsidRPr="00806E6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799F" w14:textId="717DD554" w:rsidR="00E11D46" w:rsidRPr="00806E6B" w:rsidRDefault="00E11D46" w:rsidP="00E11D46">
    <w:pPr>
      <w:pStyle w:val="Footer"/>
    </w:pPr>
    <w:r w:rsidRPr="00806E6B">
      <w:rPr>
        <w:rStyle w:val="HideTWBExt"/>
        <w:noProof w:val="0"/>
      </w:rPr>
      <w:t>&lt;PathFdR&gt;</w:t>
    </w:r>
    <w:r w:rsidRPr="00806E6B">
      <w:t>PR\1167245EN.docx</w:t>
    </w:r>
    <w:r w:rsidRPr="00806E6B">
      <w:rPr>
        <w:rStyle w:val="HideTWBExt"/>
        <w:noProof w:val="0"/>
      </w:rPr>
      <w:t>&lt;/PathFdR&gt;</w:t>
    </w:r>
    <w:r w:rsidRPr="00806E6B">
      <w:tab/>
    </w:r>
    <w:r w:rsidRPr="00806E6B">
      <w:fldChar w:fldCharType="begin"/>
    </w:r>
    <w:r w:rsidRPr="00806E6B">
      <w:instrText xml:space="preserve"> PAGE  \* MERGEFORMAT </w:instrText>
    </w:r>
    <w:r w:rsidRPr="00806E6B">
      <w:fldChar w:fldCharType="separate"/>
    </w:r>
    <w:r w:rsidR="00656F11">
      <w:rPr>
        <w:noProof/>
      </w:rPr>
      <w:t>79</w:t>
    </w:r>
    <w:r w:rsidRPr="00806E6B">
      <w:fldChar w:fldCharType="end"/>
    </w:r>
    <w:r w:rsidRPr="00806E6B">
      <w:t>/</w:t>
    </w:r>
    <w:r w:rsidR="00656F11" w:rsidRPr="00806E6B">
      <w:fldChar w:fldCharType="begin"/>
    </w:r>
    <w:r w:rsidR="00656F11" w:rsidRPr="00806E6B">
      <w:instrText xml:space="preserve"> NUMPAGES  \* MERGEFORMAT </w:instrText>
    </w:r>
    <w:r w:rsidR="00656F11" w:rsidRPr="00806E6B">
      <w:fldChar w:fldCharType="separate"/>
    </w:r>
    <w:r w:rsidR="00656F11">
      <w:rPr>
        <w:noProof/>
      </w:rPr>
      <w:t>79</w:t>
    </w:r>
    <w:r w:rsidR="00656F11" w:rsidRPr="00806E6B">
      <w:fldChar w:fldCharType="end"/>
    </w:r>
    <w:r w:rsidRPr="00806E6B">
      <w:tab/>
      <w:t>PE</w:t>
    </w:r>
    <w:r w:rsidRPr="00806E6B">
      <w:rPr>
        <w:rStyle w:val="HideTWBExt"/>
        <w:noProof w:val="0"/>
      </w:rPr>
      <w:t>&lt;NoPE&gt;</w:t>
    </w:r>
    <w:r w:rsidRPr="00806E6B">
      <w:t>623.922</w:t>
    </w:r>
    <w:r w:rsidRPr="00806E6B">
      <w:rPr>
        <w:rStyle w:val="HideTWBExt"/>
        <w:noProof w:val="0"/>
      </w:rPr>
      <w:t>&lt;/NoPE&gt;&lt;Version&gt;</w:t>
    </w:r>
    <w:r w:rsidRPr="00806E6B">
      <w:t>v01-00</w:t>
    </w:r>
    <w:r w:rsidRPr="00806E6B">
      <w:rPr>
        <w:rStyle w:val="HideTWBExt"/>
        <w:noProof w:val="0"/>
      </w:rPr>
      <w:t>&lt;/Version&gt;</w:t>
    </w:r>
  </w:p>
  <w:p w14:paraId="399CD96D" w14:textId="2AFD1BDD" w:rsidR="00912CFD" w:rsidRPr="00806E6B" w:rsidRDefault="00E11D46" w:rsidP="00E11D46">
    <w:pPr>
      <w:pStyle w:val="Footer2"/>
    </w:pPr>
    <w:r w:rsidRPr="00806E6B">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203" w14:textId="77777777" w:rsidR="00E11D46" w:rsidRPr="00806E6B" w:rsidRDefault="00E11D46" w:rsidP="00E11D46">
    <w:pPr>
      <w:pStyle w:val="Footer"/>
    </w:pPr>
    <w:r w:rsidRPr="00806E6B">
      <w:rPr>
        <w:rStyle w:val="HideTWBExt"/>
        <w:noProof w:val="0"/>
      </w:rPr>
      <w:t>&lt;PathFdR&gt;</w:t>
    </w:r>
    <w:r w:rsidRPr="00806E6B">
      <w:t>PR\1167245EN.docx</w:t>
    </w:r>
    <w:r w:rsidRPr="00806E6B">
      <w:rPr>
        <w:rStyle w:val="HideTWBExt"/>
        <w:noProof w:val="0"/>
      </w:rPr>
      <w:t>&lt;/PathFdR&gt;</w:t>
    </w:r>
    <w:r w:rsidRPr="00806E6B">
      <w:tab/>
    </w:r>
    <w:r w:rsidRPr="00806E6B">
      <w:tab/>
      <w:t>PE</w:t>
    </w:r>
    <w:r w:rsidRPr="00806E6B">
      <w:rPr>
        <w:rStyle w:val="HideTWBExt"/>
        <w:noProof w:val="0"/>
      </w:rPr>
      <w:t>&lt;NoPE&gt;</w:t>
    </w:r>
    <w:r w:rsidRPr="00806E6B">
      <w:t>623.922</w:t>
    </w:r>
    <w:r w:rsidRPr="00806E6B">
      <w:rPr>
        <w:rStyle w:val="HideTWBExt"/>
        <w:noProof w:val="0"/>
      </w:rPr>
      <w:t>&lt;/NoPE&gt;&lt;Version&gt;</w:t>
    </w:r>
    <w:r w:rsidRPr="00806E6B">
      <w:t>v01-00</w:t>
    </w:r>
    <w:r w:rsidRPr="00806E6B">
      <w:rPr>
        <w:rStyle w:val="HideTWBExt"/>
        <w:noProof w:val="0"/>
      </w:rPr>
      <w:t>&lt;/Version&gt;</w:t>
    </w:r>
  </w:p>
  <w:p w14:paraId="5C267C82" w14:textId="58F26CE2" w:rsidR="00912CFD" w:rsidRPr="00806E6B" w:rsidRDefault="00E11D46" w:rsidP="00E11D46">
    <w:pPr>
      <w:pStyle w:val="Footer2"/>
      <w:tabs>
        <w:tab w:val="center" w:pos="4535"/>
      </w:tabs>
    </w:pPr>
    <w:r w:rsidRPr="00806E6B">
      <w:t>EN</w:t>
    </w:r>
    <w:r w:rsidRPr="00806E6B">
      <w:tab/>
    </w:r>
    <w:r w:rsidRPr="00806E6B">
      <w:rPr>
        <w:b w:val="0"/>
        <w:i/>
        <w:color w:val="C0C0C0"/>
        <w:sz w:val="22"/>
      </w:rPr>
      <w:t>United in diversity</w:t>
    </w:r>
    <w:r w:rsidRPr="00806E6B">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0F52" w14:textId="77777777" w:rsidR="00912CFD" w:rsidRPr="00806E6B" w:rsidRDefault="00912CFD">
      <w:r w:rsidRPr="00806E6B">
        <w:separator/>
      </w:r>
    </w:p>
  </w:footnote>
  <w:footnote w:type="continuationSeparator" w:id="0">
    <w:p w14:paraId="1B8C7556" w14:textId="77777777" w:rsidR="00912CFD" w:rsidRPr="00806E6B" w:rsidRDefault="00912CFD">
      <w:r w:rsidRPr="00806E6B">
        <w:continuationSeparator/>
      </w:r>
    </w:p>
  </w:footnote>
  <w:footnote w:id="1">
    <w:p w14:paraId="717868DD" w14:textId="77777777" w:rsidR="003B40DD" w:rsidRPr="00806E6B" w:rsidRDefault="003B40DD" w:rsidP="003B40DD">
      <w:pPr>
        <w:pStyle w:val="FootnoteText"/>
      </w:pPr>
      <w:r w:rsidRPr="00806E6B">
        <w:rPr>
          <w:rStyle w:val="FootnoteReference"/>
        </w:rPr>
        <w:footnoteRef/>
      </w:r>
      <w:r w:rsidRPr="00806E6B">
        <w:t xml:space="preserve"> OJ C ... / Not yet published in the Official Journal.</w:t>
      </w:r>
    </w:p>
  </w:footnote>
  <w:footnote w:id="2">
    <w:p w14:paraId="335BD33B" w14:textId="77777777" w:rsidR="003B40DD" w:rsidRPr="00806E6B" w:rsidRDefault="003B40DD" w:rsidP="003B40DD">
      <w:pPr>
        <w:pStyle w:val="FootnoteText"/>
      </w:pPr>
      <w:r w:rsidRPr="00806E6B">
        <w:rPr>
          <w:rStyle w:val="FootnoteReference"/>
        </w:rPr>
        <w:footnoteRef/>
      </w:r>
      <w:r w:rsidRPr="00806E6B">
        <w:t xml:space="preserve"> OJ C ... / Not yet published in the Official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775F" w14:textId="77777777" w:rsidR="00656F11" w:rsidRDefault="0065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2F5B" w14:textId="77777777" w:rsidR="00656F11" w:rsidRDefault="00656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30D9" w14:textId="77777777" w:rsidR="00656F11" w:rsidRDefault="0065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5"/>
    <w:docVar w:name="AMACTMNU" w:val=" 1"/>
    <w:docVar w:name="AUTHORMFMNU" w:val=" 1"/>
    <w:docVar w:name="CJMNU" w:val="1"/>
    <w:docVar w:name="COMKEY" w:val="AGRI"/>
    <w:docVar w:name="CopyToNetwork" w:val="0"/>
    <w:docVar w:name="CVar" w:val="2"/>
    <w:docVar w:name="DOCMNU" w:val=" 1"/>
    <w:docVar w:name="EPSTATMNU" w:val=" 4"/>
    <w:docVar w:name="iNoAmend" w:val="3"/>
    <w:docVar w:name="INSTITUTIONSMNU" w:val=" 1"/>
    <w:docVar w:name="JOINTSTATMNU" w:val=" 1"/>
    <w:docVar w:name="JURI1MNU" w:val=" 1"/>
    <w:docVar w:name="JURI2MNU" w:val=" 2"/>
    <w:docVar w:name="LastEditedSection" w:val=" 1"/>
    <w:docVar w:name="ORLANGKEY" w:val="FR"/>
    <w:docVar w:name="ORLANGMNU" w:val=" 1"/>
    <w:docVar w:name="OTHERSTATMNU" w:val=" 4"/>
    <w:docVar w:name="PARLIAMENTSMNU" w:val=" 2"/>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11888 HideTWBExt;}{\*\cs16 \additive \v\cf15 \spriority0 \styrsid15611888 HideTWBInt;}{\s17\ql \li0\ri0\sa120\nowidctlpar\wrapdefault\aspalpha\aspnum\faauto\adjustright\rin0\lin0\itap0 _x000d__x000a_\rtlch\fcs1 \af0\afs20\alang1025 \ltrch\fcs0 \fs24\lang1036\langfe2057\cgrid\langnp1036\langfenp2057 \sbasedon0 \snext17 \slink18 \spriority0 \styrsid15611888 Normal6;}{\*\cs18 \additive \fs24\lang1036\langfe0\langnp1036 _x000d__x000a_\slink17 \slocked \spriority0 \styrsid15611888 Normal6 Char;}{\s19\ql \li0\ri0\nowidctlpar\wrapdefault\aspalpha\aspnum\faauto\adjustright\rin0\lin0\itap0 \rtlch\fcs1 \af0\afs20\alang1025 \ltrch\fcs0 _x000d__x000a_\b\fs24\lang1036\langfe2057\cgrid\langnp1036\langfenp2057 \sbasedon0 \snext19 \slink20 \spriority0 \styrsid15611888 NormalBold;}{\*\cs20 \additive \b\fs24\lang1036\langfe0\langnp1036 \slink19 \slocked \spriority0 \styrsid15611888 NormalBold Char;}{_x000d__x000a_\s21\ql \li0\ri0\sb240\nowidctlpar\wrapdefault\aspalpha\aspnum\faauto\adjustright\rin0\lin0\itap0 \rtlch\fcs1 \af0\afs20\alang1025 \ltrch\fcs0 \i\fs24\lang1036\langfe2057\cgrid\langnp1036\langfenp2057 \sbasedon0 \snext21 \spriority0 \styrsid15611888 _x000d__x000a_Normal12Italic;}{\s22\qc \li0\ri0\sb240\nowidctlpar\wrapdefault\aspalpha\aspnum\faauto\adjustright\rin0\lin0\itap0 \rtlch\fcs1 \af0\afs20\alang1025 \ltrch\fcs0 \i\fs24\lang1036\langfe2057\cgrid\langnp1036\langfenp2057 _x000d__x000a_\sbasedon0 \snext22 \spriority0 \styrsid15611888 CrossRef;}{\s23\qc \li0\ri0\sb240\keepn\nowidctlpar\wrapdefault\aspalpha\aspnum\faauto\adjustright\rin0\lin0\itap0 \rtlch\fcs1 \af0\afs20\alang1025 \ltrch\fcs0 _x000d__x000a_\i\fs24\lang1036\langfe2057\cgrid\langnp1036\langfenp2057 \sbasedon0 \snext0 \spriority0 \styrsid15611888 JustificationTitle;}{\s24\qr \li0\ri0\sb240\sa240\nowidctlpar\wrapdefault\aspalpha\aspnum\faauto\adjustright\rin0\lin0\itap0 \rtlch\fcs1 _x000d__x000a_\af0\afs20\alang1025 \ltrch\fcs0 \fs24\lang1024\langfe1024\cgrid\noproof\langnp1036\langfenp2057 \sbasedon0 \snext24 \spriority0 \styrsid15611888 Olang;}{\s25\qc \li0\ri0\sa240\nowidctlpar\wrapdefault\aspalpha\aspnum\faauto\adjustright\rin0\lin0\itap0 _x000d__x000a_\rtlch\fcs1 \af0\afs20\alang1025 \ltrch\fcs0 \i\fs24\lang1036\langfe2057\cgrid\langnp1036\langfenp2057 \sbasedon0 \snext25 \spriority0 \styrsid1561188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6 \spriority0 \styrsid15611888 AMNumberTabs;}{\s27\ql \li0\ri0\sb240\nowidctlpar\wrapdefault\aspalpha\aspnum\faauto\adjustright\rin0\lin0\itap0 \rtlch\fcs1 _x000d__x000a_\af0\afs20\alang1025 \ltrch\fcs0 \b\fs24\lang1036\langfe2057\cgrid\langnp1036\langfenp2057 \sbasedon0 \snext27 \spriority0 \styrsid15611888 NormalBold12b;}}{\*\rsidtbl \rsid24658\rsid735077\rsid2892074\rsid4666813\rsid6641733\rsid9636012\rsid11215221_x000d__x000a_\rsid12154954\rsid14424199\rsid14756325\rsid15204470\rsid15285974\rsid15611888\rsid15950462\rsid16324206\rsid16662270}{\mmathPr\mmathFont34\mbrkBin0\mbrkBinSub0\msmallFrac0\mdispDef1\mlMargin0\mrMargin0\mdefJc1\mwrapIndent1440\mintLim0\mnaryLim1}{\info_x000d__x000a_{\author GOUDEAU Nathalie}{\operator GOUDEAU Nathalie}{\creatim\yr2018\mo10\dy10\hr11\min44}{\revtim\yr2018\mo10\dy10\hr11\min44}{\version1}{\edmins0}{\nofpages1}{\nofwords56}{\nofchars646}{\*\company European Parliament}{\nofcharsws6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11888\utinl \fet0{\*\wgrffmtfilter 013f}\ilfomacatclnup0{\*\template C:\\Users\\ngoudeau\\AppData\\Local\\Temp\\Blank1.dot}{\*\ftnsep \ltrpar \pard\plain \ltrpar_x000d__x000a_\ql \li0\ri0\widctlpar\wrapdefault\aspalpha\aspnum\faauto\adjustright\rin0\lin0\itap0 \rtlch\fcs1 \af0\afs20\alang1025 \ltrch\fcs0 \fs24\lang2057\langfe2057\cgrid\langnp2057\langfenp2057 {\rtlch\fcs1 \af0 \ltrch\fcs0 \insrsid14756325 \chftnsep _x000d__x000a_\par }}{\*\ftnsepc \ltrpar \pard\plain \ltrpar\ql \li0\ri0\widctlpar\wrapdefault\aspalpha\aspnum\faauto\adjustright\rin0\lin0\itap0 \rtlch\fcs1 \af0\afs20\alang1025 \ltrch\fcs0 \fs24\lang2057\langfe2057\cgrid\langnp2057\langfenp2057 {\rtlch\fcs1 \af0 _x000d__x000a_\ltrch\fcs0 \insrsid14756325 \chftnsepc _x000d__x000a_\par }}{\*\aftnsep \ltrpar \pard\plain \ltrpar\ql \li0\ri0\widctlpar\wrapdefault\aspalpha\aspnum\faauto\adjustright\rin0\lin0\itap0 \rtlch\fcs1 \af0\afs20\alang1025 \ltrch\fcs0 \fs24\lang2057\langfe2057\cgrid\langnp2057\langfenp2057 {\rtlch\fcs1 \af0 _x000d__x000a_\ltrch\fcs0 \insrsid14756325 \chftnsep _x000d__x000a_\par }}{\*\aftnsepc \ltrpar \pard\plain \ltrpar\ql \li0\ri0\widctlpar\wrapdefault\aspalpha\aspnum\faauto\adjustright\rin0\lin0\itap0 \rtlch\fcs1 \af0\afs20\alang1025 \ltrch\fcs0 \fs24\lang2057\langfe2057\cgrid\langnp2057\langfenp2057 {\rtlch\fcs1 \af0 _x000d__x000a_\ltrch\fcs0 \insrsid147563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5611888 \rtlch\fcs1 \af0\afs20\alang1025 \ltrch\fcs0 \b\fs24\lang1036\langfe2057\cgrid\langnp1036\langfenp2057 {\rtlch\fcs1 \af0 \ltrch\fcs0 \cs15\b0\v\f1\fs20\cf9\insrsid15611888\charrsid11293195 {\*\bkmkstart restart}&lt;Amend&gt;}{_x000d__x000a_\rtlch\fcs1 \af0 \ltrch\fcs0 \insrsid15611888\charrsid11293195 Amendement\tab \tab }{\rtlch\fcs1 \af0 \ltrch\fcs0 \cs15\b0\v\f1\fs20\cf9\insrsid15611888\charrsid11293195 &lt;NumAm&gt;}{\rtlch\fcs1 \af0 \ltrch\fcs0 \insrsid15611888\charrsid11293195 #}{_x000d__x000a_\rtlch\fcs1 \af0 \ltrch\fcs0 \cs16\v\cf15\insrsid15611888\charrsid11293195 ENMIENDA@NRAM@}{\rtlch\fcs1 \af0 \ltrch\fcs0 \insrsid15611888\charrsid11293195 #}{\rtlch\fcs1 \af0 \ltrch\fcs0 \cs15\b0\v\f1\fs20\cf9\insrsid15611888\charrsid11293195 &lt;/NumAm&gt;}{_x000d__x000a_\rtlch\fcs1 \af0 \ltrch\fcs0 \insrsid15611888\charrsid11293195 _x000d__x000a_\par }\pard\plain \ltrpar\s27\ql \li0\ri0\sb240\keepn\nowidctlpar\wrapdefault\aspalpha\aspnum\faauto\adjustright\rin0\lin0\itap0\pararsid15611888 \rtlch\fcs1 \af0\afs20\alang1025 \ltrch\fcs0 \b\fs24\lang1036\langfe2057\cgrid\langnp1036\langfenp2057 {_x000d__x000a_\rtlch\fcs1 \af0 \ltrch\fcs0 \cs15\b0\v\f1\fs20\cf9\insrsid15611888\charrsid11293195 &lt;DocAmend&gt;}{\rtlch\fcs1 \af0 \ltrch\fcs0 \insrsid15611888\charrsid11293195 Proposition de #}{\rtlch\fcs1 \af0 \ltrch\fcs0 \cs16\v\cf15\insrsid15611888\charrsid11293195 _x000d__x000a_MNU[DOC1][DOC2][DOC3]@DOCMSG@DOCMNU}{\rtlch\fcs1 \af0 \ltrch\fcs0 \insrsid15611888\charrsid11293195 ##}{\rtlch\fcs1 \af0 \ltrch\fcs0 \cs16\v\cf15\insrsid15611888\charrsid11293195 MNU[AMACTYES][NOTAPP]@CHOICE@AMACTMNU}{\rtlch\fcs1 \af0 \ltrch\fcs0 _x000d__x000a_\insrsid15611888\charrsid11293195 #}{\rtlch\fcs1 \af0 \ltrch\fcs0 \cs15\b0\v\f1\fs20\cf9\insrsid15611888\charrsid11293195 &lt;/DocAmend&gt;}{\rtlch\fcs1 \af0 \ltrch\fcs0 \insrsid15611888\charrsid11293195 _x000d__x000a_\par }\pard\plain \ltrpar\s19\ql \li0\ri0\keepn\nowidctlpar\wrapdefault\aspalpha\aspnum\faauto\adjustright\rin0\lin0\itap0\pararsid15611888 \rtlch\fcs1 \af0\afs20\alang1025 \ltrch\fcs0 \b\fs24\lang1036\langfe2057\cgrid\langnp1036\langfenp2057 {\rtlch\fcs1 _x000d__x000a_\af0 \ltrch\fcs0 \cs15\b0\v\f1\fs20\cf9\insrsid15611888\charrsid11293195 &lt;Article&gt;}{\rtlch\fcs1 \af0 \ltrch\fcs0 \insrsid15611888\charrsid11293195 #}{\rtlch\fcs1 \af0 \ltrch\fcs0 \cs16\v\cf15\insrsid15611888\charrsid11293195 _x000d__x000a_MNU[AMACTPARTYES][AMACTPARTNO]@CHOICE@AMACTMNU}{\rtlch\fcs1 \af0 \ltrch\fcs0 \insrsid15611888\charrsid11293195 #}{\rtlch\fcs1 \af0 \ltrch\fcs0 \cs15\b0\v\f1\fs20\cf9\insrsid15611888\charrsid11293195 &lt;/Article&gt;}{\rtlch\fcs1 \af0 \ltrch\fcs0 _x000d__x000a_\insrsid15611888\charrsid11293195 _x000d__x000a_\par }\pard\plain \ltrpar\ql \li0\ri0\keepn\widctlpar\wrapdefault\aspalpha\aspnum\faauto\adjustright\rin0\lin0\itap0\pararsid15611888 \rtlch\fcs1 \af0\afs20\alang1025 \ltrch\fcs0 \fs24\lang2057\langfe2057\cgrid\langnp2057\langfenp2057 {\rtlch\fcs1 \af0 _x000d__x000a_\ltrch\fcs0 \cs15\v\f1\fs20\cf9\lang1036\langfe2057\langnp1036\insrsid15611888\charrsid11293195 &lt;DocAmend2&gt;&lt;OptDel&gt;}{\rtlch\fcs1 \af0 \ltrch\fcs0 \lang1036\langfe2057\langnp1036\insrsid15611888\charrsid11293195 #}{\rtlch\fcs1 \af0 \ltrch\fcs0 _x000d__x000a_\cs16\v\cf15\lang1036\langfe2057\langnp1036\insrsid15611888\charrsid11293195 MNU[OPTNRACTYES][NOTAPP]@CHOICE@AMACTMNU}{\rtlch\fcs1 \af0 \ltrch\fcs0 \lang1036\langfe2057\langnp1036\insrsid15611888\charrsid11293195 #}{\rtlch\fcs1 \af0 \ltrch\fcs0 _x000d__x000a_\cs15\v\f1\fs20\cf9\lang1036\langfe2057\langnp1036\insrsid15611888\charrsid11293195 &lt;/OptDel&gt;&lt;/DocAmend2&gt;}{\rtlch\fcs1 \af0 \ltrch\fcs0 \lang1036\langfe2057\langnp1036\insrsid15611888\charrsid11293195 _x000d__x000a_\par }\pard \ltrpar\ql \li0\ri0\widctlpar\wrapdefault\aspalpha\aspnum\faauto\adjustright\rin0\lin0\itap0\pararsid15611888 {\rtlch\fcs1 \af0 \ltrch\fcs0 \cs15\v\f1\fs20\cf9\lang1036\langfe2057\langnp1036\insrsid15611888\charrsid11293195 &lt;Article2&gt;&lt;OptDel&gt;}{_x000d__x000a_\rtlch\fcs1 \af0 \ltrch\fcs0 \lang1036\langfe2057\langnp1036\insrsid15611888\charrsid11293195 #}{\rtlch\fcs1 \af0 \ltrch\fcs0 \cs16\v\cf15\lang1036\langfe2057\langnp1036\insrsid15611888\charrsid11293195 MNU[OPTACTPARTYES][NOTAPP]@CHOICE@AMACTMNU}{_x000d__x000a_\rtlch\fcs1 \af0 \ltrch\fcs0 \lang1036\langfe2057\langnp1036\insrsid15611888\charrsid11293195 #}{\rtlch\fcs1 \af0 \ltrch\fcs0 \cs15\v\f1\fs20\cf9\lang1036\langfe2057\langnp1036\insrsid15611888\charrsid11293195 &lt;/OptDel&gt;&lt;/Article2&gt;}{\rtlch\fcs1 \af0 _x000d__x000a_\ltrch\fcs0 \lang1036\langfe2057\langnp1036\insrsid15611888\charrsid11293195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6\langfe2057\langnp1036\insrsid15611888\charrsid11293195 \cell }\pard \ltrpar\ql \li0\ri0\widctlpar\intbl\wrapdefault\aspalpha\aspnum\faauto\adjustright\rin0\lin0 {\rtlch\fcs1 \af0 \ltrch\fcs0 _x000d__x000a_\lang1036\langfe2057\langnp1036\insrsid15611888\charrsid11293195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36\langfe2057\cgrid\langnp1036\langfenp2057 {\rtlch\fcs1 \af0 \ltrch\fcs0 _x000d__x000a_\insrsid15611888\charrsid11293195 #}{\rtlch\fcs1 \af0 \ltrch\fcs0 \cs16\v\cf15\insrsid15611888\charrsid11293195 MNU[OPTLEFTAMACT][LEFTPROP]@CHOICE@AMACTMNU}{\rtlch\fcs1 \af0 \ltrch\fcs0 \insrsid15611888\charrsid11293195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5611888\charrsid11293195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6\langfe2057\cgrid\langnp1036\langfenp2057 {\rtlch\fcs1 \af0 \ltrch\fcs0 \insrsid15611888\charrsid11293195 ##\cell ##}{\rtlch\fcs1 \af0\afs24 \ltrch\fcs0 \insrsid15611888\charrsid11293195 \cell }\pard\plain \ltrpar_x000d__x000a_\ql \li0\ri0\widctlpar\intbl\wrapdefault\aspalpha\aspnum\faauto\adjustright\rin0\lin0 \rtlch\fcs1 \af0\afs20\alang1025 \ltrch\fcs0 \fs24\lang2057\langfe2057\cgrid\langnp2057\langfenp2057 {\rtlch\fcs1 \af0 \ltrch\fcs0 _x000d__x000a_\lang1036\langfe2057\langnp1036\insrsid15611888\charrsid11293195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611888 \rtlch\fcs1 \af0\afs20\alang1025 \ltrch\fcs0 \fs24\lang1024\langfe1024\cgrid\noproof\langnp1036\langfenp2057 {\rtlch\fcs1 \af0 _x000d__x000a_\ltrch\fcs0 \noproof0\insrsid15611888\charrsid11293195 Or. }{\rtlch\fcs1 \af0 \ltrch\fcs0 \cs15\v\f1\fs20\cf9\noproof0\insrsid15611888\charrsid11293195 &lt;Original&gt;}{\rtlch\fcs1 \af0 \ltrch\fcs0 \noproof0\insrsid15611888\charrsid11293195 #}{\rtlch\fcs1 _x000d__x000a_\af0 \ltrch\fcs0 \cs16\v\cf15\noproof0\insrsid15611888\charrsid11293195 MNU[ORLANGONE][ORLANGMORE]@CHOICE@ORLANGMNU}{\rtlch\fcs1 \af0 \ltrch\fcs0 \noproof0\insrsid15611888\charrsid11293195 #}{\rtlch\fcs1 \af0 \ltrch\fcs0 _x000d__x000a_\cs15\v\f1\fs20\cf9\noproof0\insrsid15611888\charrsid11293195 &lt;/Original&gt;}{\rtlch\fcs1 \af0 \ltrch\fcs0 \noproof0\insrsid15611888\charrsid11293195 _x000d__x000a_\par }\pard\plain \ltrpar\s22\qc \li0\ri0\sb240\nowidctlpar\wrapdefault\aspalpha\aspnum\faauto\adjustright\rin0\lin0\itap0\pararsid15611888 \rtlch\fcs1 \af0\afs20\alang1025 \ltrch\fcs0 \i\fs24\lang1036\langfe2057\cgrid\langnp1036\langfenp2057 {\rtlch\fcs1 _x000d__x000a_\af0 \ltrch\fcs0 \cs15\i0\v\f1\fs20\cf9\insrsid15611888\charrsid11293195 &lt;OptDel&gt;}{\rtlch\fcs1 \af0 \ltrch\fcs0 \insrsid15611888\charrsid11293195 #}{\rtlch\fcs1 \af0 \ltrch\fcs0 \cs16\v\cf15\insrsid15611888\charrsid11293195 _x000d__x000a_MNU[CROSSREFNO][CROSSREFYES]@CHOICE@}{\rtlch\fcs1 \af0 \ltrch\fcs0 \insrsid15611888\charrsid11293195 #}{\rtlch\fcs1 \af0 \ltrch\fcs0 \cs15\i0\v\f1\fs20\cf9\insrsid15611888\charrsid11293195 &lt;/OptDel&gt;}{\rtlch\fcs1 \af0 \ltrch\fcs0 _x000d__x000a_\insrsid15611888\charrsid11293195 _x000d__x000a_\par }\pard\plain \ltrpar\s23\qc \li0\ri0\sb240\keepn\nowidctlpar\wrapdefault\aspalpha\aspnum\faauto\adjustright\rin0\lin0\itap0\pararsid15611888 \rtlch\fcs1 \af0\afs20\alang1025 \ltrch\fcs0 \i\fs24\lang1036\langfe2057\cgrid\langnp1036\langfenp2057 {_x000d__x000a_\rtlch\fcs1 \af0 \ltrch\fcs0 \cs15\i0\v\f1\fs20\cf9\insrsid15611888\charrsid11293195 &lt;TitreJust&gt;}{\rtlch\fcs1 \af0 \ltrch\fcs0 \insrsid15611888\charrsid11293195 Justification}{\rtlch\fcs1 \af0 \ltrch\fcs0 _x000d__x000a_\cs15\i0\v\f1\fs20\cf9\insrsid15611888\charrsid11293195 &lt;/TitreJust&gt;}{\rtlch\fcs1 \af0 \ltrch\fcs0 \insrsid15611888\charrsid11293195 _x000d__x000a_\par }\pard\plain \ltrpar\s21\ql \li0\ri0\sb240\nowidctlpar\wrapdefault\aspalpha\aspnum\faauto\adjustright\rin0\lin0\itap0\pararsid15611888 \rtlch\fcs1 \af0\afs20\alang1025 \ltrch\fcs0 \i\fs24\lang1036\langfe2057\cgrid\langnp1036\langfenp2057 {\rtlch\fcs1 _x000d__x000a_\af0 \ltrch\fcs0 \cs15\i0\v\f1\fs20\cf9\insrsid15611888\charrsid11293195 &lt;OptDelPrev&gt;}{\rtlch\fcs1 \af0 \ltrch\fcs0 \insrsid15611888\charrsid11293195 #}{\rtlch\fcs1 \af0 \ltrch\fcs0 \cs16\v\cf15\insrsid15611888\charrsid11293195 MNU[TEXTJUS_x000d__x000a_TYES][TEXTJUSTNO]@CHOICE@}{\rtlch\fcs1 \af0 \ltrch\fcs0 \insrsid15611888\charrsid11293195 #}{\rtlch\fcs1 \af0 \ltrch\fcs0 \cs15\i0\v\f1\fs20\cf9\insrsid15611888\charrsid11293195 &lt;/OptDelPrev&gt;}{\rtlch\fcs1 \af0 \ltrch\fcs0 _x000d__x000a_\insrsid15611888\charrsid11293195 _x000d__x000a_\par }\pard\plain \ltrpar\ql \li0\ri0\widctlpar\wrapdefault\aspalpha\aspnum\faauto\adjustright\rin0\lin0\itap0\pararsid15611888 \rtlch\fcs1 \af0\afs20\alang1025 \ltrch\fcs0 \fs24\lang2057\langfe2057\cgrid\langnp2057\langfenp2057 {\rtlch\fcs1 \af0 \ltrch\fcs0 _x000d__x000a_\cs15\v\f1\fs20\cf9\lang1036\langfe2057\langnp1036\insrsid15611888\charrsid1129319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2_x000d__x000a_5bd87d6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7"/>
    <w:docVar w:name="TVTACTPART" w:val="Article AX – Paragraphe AZ"/>
    <w:docVar w:name="TVTAMACTPART" w:val="Considérant 3"/>
    <w:docVar w:name="TVTNRACT" w:val="Règlement 1308/2013"/>
    <w:docVar w:name="TXTAUTHOR" w:val="Eric Andrieu"/>
    <w:docVar w:name="TXTLANGUE" w:val="EN"/>
    <w:docVar w:name="TXTLANGUEMIN" w:val="en"/>
    <w:docVar w:name="TXTNRC" w:val="0000/2018"/>
    <w:docVar w:name="TXTNRCOD" w:val="2018/0218"/>
    <w:docVar w:name="TXTNRCOM" w:val="(2018)0394"/>
    <w:docVar w:name="TXTNRFIRSTAM" w:val="1"/>
    <w:docVar w:name="TXTNRLASTAM" w:val="109"/>
    <w:docVar w:name="TXTNRPE" w:val="623.922"/>
    <w:docVar w:name="TXTPEorAP" w:val="PE"/>
    <w:docVar w:name="TXTROUTE" w:val="PR\1167245EN.docx"/>
    <w:docVar w:name="TXTTITLE" w:val="modifiant les règlements (UE) no 1308/2013 portant organisation commune des marchés dans le secteur des produits agricoles, (UE) no 1151/2012 relatif aux systèmes de qualité applicables aux produits agricoles et aux denrées alimentaires, (UE) no 251/2014 concernant la définition, la description, la présentation, l’étiquetage et la protection des indications géographiques des produits vinicoles aromatisés, (UE) no 228/2013 portant mesures spécifiques dans le domaine de l’agriculture en faveur des régions ultrapériphériques de l’Union et (UE) no 229/2013 portant mesures spécifiques dans le domaine de l’agriculture en faveur des îles mineures de la mer Egée"/>
    <w:docVar w:name="TXTVERSION" w:val="01-00"/>
  </w:docVars>
  <w:rsids>
    <w:rsidRoot w:val="00AC520B"/>
    <w:rsid w:val="0000650E"/>
    <w:rsid w:val="00011AAB"/>
    <w:rsid w:val="00012351"/>
    <w:rsid w:val="000173A7"/>
    <w:rsid w:val="00040774"/>
    <w:rsid w:val="00047B42"/>
    <w:rsid w:val="00053577"/>
    <w:rsid w:val="00054C42"/>
    <w:rsid w:val="00055760"/>
    <w:rsid w:val="000718AF"/>
    <w:rsid w:val="00084E89"/>
    <w:rsid w:val="00091F82"/>
    <w:rsid w:val="000B51FA"/>
    <w:rsid w:val="000D7D1D"/>
    <w:rsid w:val="000E2015"/>
    <w:rsid w:val="000F1096"/>
    <w:rsid w:val="00123DD5"/>
    <w:rsid w:val="00142215"/>
    <w:rsid w:val="001716F2"/>
    <w:rsid w:val="001767E2"/>
    <w:rsid w:val="00184EBA"/>
    <w:rsid w:val="00187008"/>
    <w:rsid w:val="001969A9"/>
    <w:rsid w:val="001C0C68"/>
    <w:rsid w:val="001C5592"/>
    <w:rsid w:val="001C5B44"/>
    <w:rsid w:val="001C6DF3"/>
    <w:rsid w:val="001C6FFC"/>
    <w:rsid w:val="001D4D16"/>
    <w:rsid w:val="00202D83"/>
    <w:rsid w:val="00212B84"/>
    <w:rsid w:val="002346B0"/>
    <w:rsid w:val="0024424D"/>
    <w:rsid w:val="0025061A"/>
    <w:rsid w:val="0026589F"/>
    <w:rsid w:val="00265DB2"/>
    <w:rsid w:val="002667C3"/>
    <w:rsid w:val="002669B6"/>
    <w:rsid w:val="00290BED"/>
    <w:rsid w:val="00292A24"/>
    <w:rsid w:val="002C13EC"/>
    <w:rsid w:val="002F40BB"/>
    <w:rsid w:val="002F4B02"/>
    <w:rsid w:val="00315D1F"/>
    <w:rsid w:val="00315F8B"/>
    <w:rsid w:val="00316F47"/>
    <w:rsid w:val="00323EF8"/>
    <w:rsid w:val="00347611"/>
    <w:rsid w:val="00352B84"/>
    <w:rsid w:val="00370AC3"/>
    <w:rsid w:val="00373DA0"/>
    <w:rsid w:val="0037658A"/>
    <w:rsid w:val="00386FFC"/>
    <w:rsid w:val="003B058B"/>
    <w:rsid w:val="003B2FB5"/>
    <w:rsid w:val="003B40DD"/>
    <w:rsid w:val="003C2068"/>
    <w:rsid w:val="003C37CF"/>
    <w:rsid w:val="004100B1"/>
    <w:rsid w:val="00413B41"/>
    <w:rsid w:val="004251DD"/>
    <w:rsid w:val="0045381C"/>
    <w:rsid w:val="0046008C"/>
    <w:rsid w:val="00461601"/>
    <w:rsid w:val="004B002C"/>
    <w:rsid w:val="004B3A47"/>
    <w:rsid w:val="004B4107"/>
    <w:rsid w:val="004C0915"/>
    <w:rsid w:val="004D2222"/>
    <w:rsid w:val="004D424E"/>
    <w:rsid w:val="004E42C8"/>
    <w:rsid w:val="00503E7E"/>
    <w:rsid w:val="0051271F"/>
    <w:rsid w:val="00521F46"/>
    <w:rsid w:val="005256DE"/>
    <w:rsid w:val="00551123"/>
    <w:rsid w:val="005610A6"/>
    <w:rsid w:val="00570A6A"/>
    <w:rsid w:val="00580EBD"/>
    <w:rsid w:val="00586E50"/>
    <w:rsid w:val="00595394"/>
    <w:rsid w:val="00597219"/>
    <w:rsid w:val="005B2E0F"/>
    <w:rsid w:val="005B3ABD"/>
    <w:rsid w:val="005C2CA4"/>
    <w:rsid w:val="005D1A99"/>
    <w:rsid w:val="005D4BC2"/>
    <w:rsid w:val="005D7609"/>
    <w:rsid w:val="005D78B8"/>
    <w:rsid w:val="005D7EE8"/>
    <w:rsid w:val="005F61E1"/>
    <w:rsid w:val="00653137"/>
    <w:rsid w:val="00656F11"/>
    <w:rsid w:val="00677A1C"/>
    <w:rsid w:val="006B2996"/>
    <w:rsid w:val="006B5EBC"/>
    <w:rsid w:val="006C03FE"/>
    <w:rsid w:val="006F7907"/>
    <w:rsid w:val="0070715C"/>
    <w:rsid w:val="007126D1"/>
    <w:rsid w:val="007176F9"/>
    <w:rsid w:val="007260D8"/>
    <w:rsid w:val="00732233"/>
    <w:rsid w:val="007350BB"/>
    <w:rsid w:val="00743189"/>
    <w:rsid w:val="007932B3"/>
    <w:rsid w:val="00793EA9"/>
    <w:rsid w:val="007D6F68"/>
    <w:rsid w:val="00806E6B"/>
    <w:rsid w:val="008211AA"/>
    <w:rsid w:val="008345C9"/>
    <w:rsid w:val="008350A4"/>
    <w:rsid w:val="0084398B"/>
    <w:rsid w:val="0084460C"/>
    <w:rsid w:val="0086150D"/>
    <w:rsid w:val="008633CC"/>
    <w:rsid w:val="00865190"/>
    <w:rsid w:val="008719B9"/>
    <w:rsid w:val="0089123B"/>
    <w:rsid w:val="00894ECE"/>
    <w:rsid w:val="00896BB4"/>
    <w:rsid w:val="008A7FB8"/>
    <w:rsid w:val="008C16E0"/>
    <w:rsid w:val="008E0D60"/>
    <w:rsid w:val="008F77BA"/>
    <w:rsid w:val="009022B8"/>
    <w:rsid w:val="00905732"/>
    <w:rsid w:val="00912CFD"/>
    <w:rsid w:val="00917CC4"/>
    <w:rsid w:val="00927E4A"/>
    <w:rsid w:val="009377AF"/>
    <w:rsid w:val="00975CC0"/>
    <w:rsid w:val="009763DA"/>
    <w:rsid w:val="009772F7"/>
    <w:rsid w:val="009A27D8"/>
    <w:rsid w:val="009B4B93"/>
    <w:rsid w:val="009C29D5"/>
    <w:rsid w:val="009D1B56"/>
    <w:rsid w:val="009D2C84"/>
    <w:rsid w:val="009E0055"/>
    <w:rsid w:val="009E3FAE"/>
    <w:rsid w:val="009F24BE"/>
    <w:rsid w:val="009F29E7"/>
    <w:rsid w:val="009F6C2F"/>
    <w:rsid w:val="009F704C"/>
    <w:rsid w:val="00A1135D"/>
    <w:rsid w:val="00A11B2B"/>
    <w:rsid w:val="00A22533"/>
    <w:rsid w:val="00A26F46"/>
    <w:rsid w:val="00A323D4"/>
    <w:rsid w:val="00A32C12"/>
    <w:rsid w:val="00A34FD3"/>
    <w:rsid w:val="00A36929"/>
    <w:rsid w:val="00A41602"/>
    <w:rsid w:val="00A64297"/>
    <w:rsid w:val="00A80676"/>
    <w:rsid w:val="00A83B3E"/>
    <w:rsid w:val="00AA35B0"/>
    <w:rsid w:val="00AB6021"/>
    <w:rsid w:val="00AC0C7F"/>
    <w:rsid w:val="00AC520B"/>
    <w:rsid w:val="00AD18C8"/>
    <w:rsid w:val="00AD45E4"/>
    <w:rsid w:val="00AD7FA6"/>
    <w:rsid w:val="00AE4643"/>
    <w:rsid w:val="00AF0416"/>
    <w:rsid w:val="00B00433"/>
    <w:rsid w:val="00B10705"/>
    <w:rsid w:val="00B10CB4"/>
    <w:rsid w:val="00B23B72"/>
    <w:rsid w:val="00B33F70"/>
    <w:rsid w:val="00B42702"/>
    <w:rsid w:val="00B77CB9"/>
    <w:rsid w:val="00B85407"/>
    <w:rsid w:val="00B95702"/>
    <w:rsid w:val="00BC6489"/>
    <w:rsid w:val="00BD480C"/>
    <w:rsid w:val="00BE2332"/>
    <w:rsid w:val="00BF093B"/>
    <w:rsid w:val="00BF520C"/>
    <w:rsid w:val="00C140CA"/>
    <w:rsid w:val="00C16B73"/>
    <w:rsid w:val="00C66289"/>
    <w:rsid w:val="00C71206"/>
    <w:rsid w:val="00C73602"/>
    <w:rsid w:val="00C75B0E"/>
    <w:rsid w:val="00CB6E13"/>
    <w:rsid w:val="00CC01B7"/>
    <w:rsid w:val="00CF298B"/>
    <w:rsid w:val="00CF60C8"/>
    <w:rsid w:val="00D01535"/>
    <w:rsid w:val="00D30BDA"/>
    <w:rsid w:val="00D32924"/>
    <w:rsid w:val="00D503A3"/>
    <w:rsid w:val="00D50CF2"/>
    <w:rsid w:val="00D66B29"/>
    <w:rsid w:val="00D67F51"/>
    <w:rsid w:val="00DA0694"/>
    <w:rsid w:val="00DA6ED0"/>
    <w:rsid w:val="00DB39F2"/>
    <w:rsid w:val="00DC5011"/>
    <w:rsid w:val="00DC78FA"/>
    <w:rsid w:val="00E11D46"/>
    <w:rsid w:val="00E171B6"/>
    <w:rsid w:val="00E43CD8"/>
    <w:rsid w:val="00E73922"/>
    <w:rsid w:val="00E841CC"/>
    <w:rsid w:val="00EB1753"/>
    <w:rsid w:val="00EB6CFF"/>
    <w:rsid w:val="00ED2B17"/>
    <w:rsid w:val="00EE3996"/>
    <w:rsid w:val="00F231BE"/>
    <w:rsid w:val="00F2536C"/>
    <w:rsid w:val="00F52146"/>
    <w:rsid w:val="00F53D68"/>
    <w:rsid w:val="00F6327F"/>
    <w:rsid w:val="00F767D5"/>
    <w:rsid w:val="00F81C1F"/>
    <w:rsid w:val="00F82091"/>
    <w:rsid w:val="00F904AE"/>
    <w:rsid w:val="00F934F8"/>
    <w:rsid w:val="00F961EC"/>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704113"/>
  <w15:chartTrackingRefBased/>
  <w15:docId w15:val="{17DF99DF-4242-4FC5-8364-7B036E59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basedOn w:val="DefaultParagraphFont"/>
    <w:link w:val="Normal12"/>
    <w:locked/>
    <w:rsid w:val="0025061A"/>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1D4D16"/>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1D4D16"/>
    <w:pPr>
      <w:spacing w:before="240" w:after="240"/>
    </w:pPr>
    <w:rPr>
      <w:b/>
      <w:i/>
      <w:snapToGrid w:val="0"/>
      <w:lang w:val="en-US" w:eastAsia="en-US"/>
    </w:rPr>
  </w:style>
  <w:style w:type="paragraph" w:customStyle="1" w:styleId="Lgendestandard">
    <w:name w:val="Légende standard"/>
    <w:basedOn w:val="Lgendesigne"/>
    <w:rsid w:val="001D4D16"/>
    <w:pPr>
      <w:ind w:left="0" w:firstLine="0"/>
    </w:pPr>
  </w:style>
  <w:style w:type="paragraph" w:styleId="FootnoteText">
    <w:name w:val="footnote text"/>
    <w:basedOn w:val="Normal"/>
    <w:link w:val="FootnoteTextChar"/>
    <w:rsid w:val="009D1B56"/>
    <w:rPr>
      <w:sz w:val="20"/>
    </w:rPr>
  </w:style>
  <w:style w:type="character" w:customStyle="1" w:styleId="FootnoteTextChar">
    <w:name w:val="Footnote Text Char"/>
    <w:basedOn w:val="DefaultParagraphFont"/>
    <w:link w:val="FootnoteText"/>
    <w:rsid w:val="009D1B56"/>
    <w:rPr>
      <w:lang w:val="fr-FR"/>
    </w:rPr>
  </w:style>
  <w:style w:type="character" w:styleId="FootnoteReference">
    <w:name w:val="footnote reference"/>
    <w:basedOn w:val="DefaultParagraphFont"/>
    <w:rsid w:val="009D1B56"/>
    <w:rPr>
      <w:vertAlign w:val="superscript"/>
    </w:rPr>
  </w:style>
  <w:style w:type="paragraph" w:styleId="BalloonText">
    <w:name w:val="Balloon Text"/>
    <w:basedOn w:val="Normal"/>
    <w:link w:val="BalloonTextChar"/>
    <w:rsid w:val="005C2CA4"/>
    <w:rPr>
      <w:rFonts w:ascii="Segoe UI" w:hAnsi="Segoe UI" w:cs="Segoe UI"/>
      <w:sz w:val="18"/>
      <w:szCs w:val="18"/>
    </w:rPr>
  </w:style>
  <w:style w:type="character" w:customStyle="1" w:styleId="BalloonTextChar">
    <w:name w:val="Balloon Text Char"/>
    <w:basedOn w:val="DefaultParagraphFont"/>
    <w:link w:val="BalloonText"/>
    <w:rsid w:val="005C2CA4"/>
    <w:rPr>
      <w:rFonts w:ascii="Segoe UI" w:hAnsi="Segoe UI" w:cs="Segoe UI"/>
      <w:sz w:val="18"/>
      <w:szCs w:val="18"/>
      <w:lang w:val="fr-FR"/>
    </w:rPr>
  </w:style>
  <w:style w:type="paragraph" w:customStyle="1" w:styleId="modref">
    <w:name w:val="modref"/>
    <w:basedOn w:val="Normal"/>
    <w:rsid w:val="003B058B"/>
    <w:pPr>
      <w:widowControl/>
      <w:spacing w:before="120"/>
    </w:pPr>
    <w:rPr>
      <w:b/>
      <w:bCs/>
      <w:szCs w:val="24"/>
    </w:rPr>
  </w:style>
  <w:style w:type="paragraph" w:customStyle="1" w:styleId="stitle-article-norm">
    <w:name w:val="stitle-article-norm"/>
    <w:basedOn w:val="Normal"/>
    <w:rsid w:val="003B058B"/>
    <w:pPr>
      <w:widowControl/>
      <w:spacing w:before="240" w:after="120"/>
      <w:jc w:val="center"/>
    </w:pPr>
    <w:rPr>
      <w:b/>
      <w:bCs/>
      <w:szCs w:val="24"/>
    </w:rPr>
  </w:style>
  <w:style w:type="character" w:styleId="Hyperlink">
    <w:name w:val="Hyperlink"/>
    <w:uiPriority w:val="99"/>
    <w:unhideWhenUsed/>
    <w:rsid w:val="003B058B"/>
    <w:rPr>
      <w:color w:val="0000FF"/>
      <w:u w:val="single"/>
    </w:rPr>
  </w:style>
  <w:style w:type="character" w:styleId="CommentReference">
    <w:name w:val="annotation reference"/>
    <w:basedOn w:val="DefaultParagraphFont"/>
    <w:rsid w:val="008E0D60"/>
    <w:rPr>
      <w:sz w:val="16"/>
      <w:szCs w:val="16"/>
    </w:rPr>
  </w:style>
  <w:style w:type="paragraph" w:styleId="CommentText">
    <w:name w:val="annotation text"/>
    <w:basedOn w:val="Normal"/>
    <w:link w:val="CommentTextChar"/>
    <w:rsid w:val="008E0D60"/>
    <w:rPr>
      <w:sz w:val="20"/>
    </w:rPr>
  </w:style>
  <w:style w:type="character" w:customStyle="1" w:styleId="CommentTextChar">
    <w:name w:val="Comment Text Char"/>
    <w:basedOn w:val="DefaultParagraphFont"/>
    <w:link w:val="CommentText"/>
    <w:rsid w:val="008E0D60"/>
  </w:style>
  <w:style w:type="paragraph" w:styleId="CommentSubject">
    <w:name w:val="annotation subject"/>
    <w:basedOn w:val="CommentText"/>
    <w:next w:val="CommentText"/>
    <w:link w:val="CommentSubjectChar"/>
    <w:rsid w:val="008E0D60"/>
    <w:rPr>
      <w:b/>
      <w:bCs/>
    </w:rPr>
  </w:style>
  <w:style w:type="character" w:customStyle="1" w:styleId="CommentSubjectChar">
    <w:name w:val="Comment Subject Char"/>
    <w:basedOn w:val="CommentTextChar"/>
    <w:link w:val="CommentSubject"/>
    <w:rsid w:val="008E0D60"/>
    <w:rPr>
      <w:b/>
      <w:bCs/>
    </w:rPr>
  </w:style>
  <w:style w:type="paragraph" w:styleId="Revision">
    <w:name w:val="Revision"/>
    <w:hidden/>
    <w:uiPriority w:val="99"/>
    <w:semiHidden/>
    <w:rsid w:val="008E0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6310">
      <w:bodyDiv w:val="1"/>
      <w:marLeft w:val="390"/>
      <w:marRight w:val="390"/>
      <w:marTop w:val="390"/>
      <w:marBottom w:val="0"/>
      <w:divBdr>
        <w:top w:val="none" w:sz="0" w:space="0" w:color="auto"/>
        <w:left w:val="none" w:sz="0" w:space="0" w:color="auto"/>
        <w:bottom w:val="none" w:sz="0" w:space="0" w:color="auto"/>
        <w:right w:val="none" w:sz="0" w:space="0" w:color="auto"/>
      </w:divBdr>
    </w:div>
    <w:div w:id="916942423">
      <w:bodyDiv w:val="1"/>
      <w:marLeft w:val="0"/>
      <w:marRight w:val="0"/>
      <w:marTop w:val="0"/>
      <w:marBottom w:val="0"/>
      <w:divBdr>
        <w:top w:val="none" w:sz="0" w:space="0" w:color="auto"/>
        <w:left w:val="none" w:sz="0" w:space="0" w:color="auto"/>
        <w:bottom w:val="none" w:sz="0" w:space="0" w:color="auto"/>
        <w:right w:val="none" w:sz="0" w:space="0" w:color="auto"/>
      </w:divBdr>
    </w:div>
    <w:div w:id="1048380537">
      <w:bodyDiv w:val="1"/>
      <w:marLeft w:val="0"/>
      <w:marRight w:val="0"/>
      <w:marTop w:val="0"/>
      <w:marBottom w:val="0"/>
      <w:divBdr>
        <w:top w:val="none" w:sz="0" w:space="0" w:color="auto"/>
        <w:left w:val="none" w:sz="0" w:space="0" w:color="auto"/>
        <w:bottom w:val="none" w:sz="0" w:space="0" w:color="auto"/>
        <w:right w:val="none" w:sz="0" w:space="0" w:color="auto"/>
      </w:divBdr>
    </w:div>
    <w:div w:id="19439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3601-D5BC-4992-8B2B-DDA8A956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20784</Words>
  <Characters>112031</Characters>
  <Application>Microsoft Office Word</Application>
  <DocSecurity>0</DocSecurity>
  <Lines>4001</Lines>
  <Paragraphs>2075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GOUDEAU Nathalie</dc:creator>
  <cp:keywords/>
  <dc:description/>
  <cp:lastModifiedBy>BRENNAN Ellen</cp:lastModifiedBy>
  <cp:revision>2</cp:revision>
  <cp:lastPrinted>2018-10-26T10:55:00Z</cp:lastPrinted>
  <dcterms:created xsi:type="dcterms:W3CDTF">2018-11-08T14:36:00Z</dcterms:created>
  <dcterms:modified xsi:type="dcterms:W3CDTF">2018-11-08T14:36:00Z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1167245</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\\eiciBRUpr1\pdocep$\DocEP\TRANSFIL\FR\PR_COD_1amCom.FR(14/06/2018 17:41:22)</vt:lpwstr>
  </property>
  <property fmtid="{D5CDD505-2E9C-101B-9397-08002B2CF9AE}" pid="9" name="&lt;Model&gt;">
    <vt:lpwstr>PR_COD_1amCom</vt:lpwstr>
  </property>
  <property fmtid="{D5CDD505-2E9C-101B-9397-08002B2CF9AE}" pid="10" name="FooterPath">
    <vt:lpwstr>PR\1167245EN.docx</vt:lpwstr>
  </property>
  <property fmtid="{D5CDD505-2E9C-101B-9397-08002B2CF9AE}" pid="11" name="PE number">
    <vt:lpwstr>623.922</vt:lpwstr>
  </property>
  <property fmtid="{D5CDD505-2E9C-101B-9397-08002B2CF9AE}" pid="12" name="SubscribeElise">
    <vt:lpwstr/>
  </property>
  <property fmtid="{D5CDD505-2E9C-101B-9397-08002B2CF9AE}" pid="13" name="SendToEpades">
    <vt:lpwstr/>
  </property>
  <property fmtid="{D5CDD505-2E9C-101B-9397-08002B2CF9AE}" pid="14" name="Bookout">
    <vt:lpwstr>OK - 2018/11/08 15:36</vt:lpwstr>
  </property>
</Properties>
</file>