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DD51" w14:textId="77777777" w:rsidR="004A6753" w:rsidRPr="001F36C8" w:rsidRDefault="004A6753" w:rsidP="004A6753">
      <w:pPr>
        <w:pStyle w:val="AMNumberTabs"/>
        <w:keepNext/>
        <w:rPr>
          <w:lang w:val="en-GB"/>
        </w:rPr>
      </w:pPr>
      <w:r w:rsidRPr="004A6753">
        <w:rPr>
          <w:rStyle w:val="HideTWBExt"/>
          <w:b w:val="0"/>
          <w:lang w:val="en-GB"/>
        </w:rPr>
        <w:t>&lt;RepeatBlock-Amend&gt;</w:t>
      </w: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1</w:t>
      </w:r>
      <w:r w:rsidRPr="001F36C8">
        <w:rPr>
          <w:rStyle w:val="HideTWBExt"/>
          <w:b w:val="0"/>
          <w:lang w:val="en-GB"/>
        </w:rPr>
        <w:t>&lt;/NumAm&gt;</w:t>
      </w:r>
    </w:p>
    <w:p w14:paraId="7E5618EE"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48075E9E" w14:textId="77777777" w:rsidR="004A6753" w:rsidRPr="00ED66A2" w:rsidRDefault="004A6753" w:rsidP="004A6753">
      <w:r w:rsidRPr="007E6396">
        <w:rPr>
          <w:rStyle w:val="HideTWBExt"/>
        </w:rPr>
        <w:t>&lt;/RepeatBlock-By&gt;</w:t>
      </w:r>
    </w:p>
    <w:p w14:paraId="5DC5AC7D"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03771021"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Recital 22 a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1EAD23C4" w14:textId="77777777" w:rsidTr="0081007B">
        <w:trPr>
          <w:jc w:val="center"/>
        </w:trPr>
        <w:tc>
          <w:tcPr>
            <w:tcW w:w="9752" w:type="dxa"/>
            <w:gridSpan w:val="2"/>
          </w:tcPr>
          <w:p w14:paraId="09B277DE" w14:textId="77777777" w:rsidR="004A6753" w:rsidRPr="001F36C8" w:rsidRDefault="004A6753" w:rsidP="0081007B">
            <w:pPr>
              <w:keepNext/>
            </w:pPr>
          </w:p>
        </w:tc>
      </w:tr>
      <w:tr w:rsidR="004A6753" w:rsidRPr="001F36C8" w14:paraId="3EC401A9" w14:textId="77777777" w:rsidTr="0081007B">
        <w:trPr>
          <w:jc w:val="center"/>
        </w:trPr>
        <w:tc>
          <w:tcPr>
            <w:tcW w:w="4876" w:type="dxa"/>
          </w:tcPr>
          <w:p w14:paraId="7341DECE"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410D856A" w14:textId="77777777" w:rsidR="004A6753" w:rsidRPr="001F36C8" w:rsidRDefault="004A6753" w:rsidP="0081007B">
            <w:pPr>
              <w:pStyle w:val="ColumnHeading"/>
              <w:keepNext/>
              <w:rPr>
                <w:lang w:val="en-GB"/>
              </w:rPr>
            </w:pPr>
            <w:r w:rsidRPr="001F36C8">
              <w:rPr>
                <w:lang w:val="en-GB"/>
              </w:rPr>
              <w:t>Amendment</w:t>
            </w:r>
          </w:p>
        </w:tc>
      </w:tr>
      <w:tr w:rsidR="004A6753" w:rsidRPr="001F36C8" w14:paraId="644926B5" w14:textId="77777777" w:rsidTr="0081007B">
        <w:trPr>
          <w:jc w:val="center"/>
        </w:trPr>
        <w:tc>
          <w:tcPr>
            <w:tcW w:w="4876" w:type="dxa"/>
          </w:tcPr>
          <w:p w14:paraId="0080752F" w14:textId="77777777" w:rsidR="004A6753" w:rsidRPr="00EE201B" w:rsidRDefault="004A6753" w:rsidP="0081007B">
            <w:pPr>
              <w:pStyle w:val="Normal6"/>
              <w:rPr>
                <w:lang w:val="en-GB"/>
              </w:rPr>
            </w:pPr>
          </w:p>
        </w:tc>
        <w:tc>
          <w:tcPr>
            <w:tcW w:w="4876" w:type="dxa"/>
          </w:tcPr>
          <w:p w14:paraId="5B1C35CF" w14:textId="6AD2D5B7" w:rsidR="004A6753" w:rsidRPr="001F36C8" w:rsidRDefault="00EE201B" w:rsidP="0081007B">
            <w:pPr>
              <w:pStyle w:val="Normal6"/>
              <w:rPr>
                <w:lang w:val="en-GB"/>
              </w:rPr>
            </w:pPr>
            <w:r w:rsidRPr="006D22F9">
              <w:rPr>
                <w:b/>
                <w:i/>
                <w:lang w:val="en-GB"/>
              </w:rPr>
              <w:t>(22 a)</w:t>
            </w:r>
            <w:r w:rsidRPr="006D22F9">
              <w:rPr>
                <w:b/>
                <w:i/>
                <w:lang w:val="en-GB"/>
              </w:rPr>
              <w:tab/>
            </w:r>
            <w:r w:rsidRPr="55294846">
              <w:rPr>
                <w:b/>
                <w:bCs/>
                <w:i/>
                <w:iCs/>
                <w:lang w:val="en-GB"/>
              </w:rPr>
              <w:t>In</w:t>
            </w:r>
            <w:r w:rsidRPr="006D22F9">
              <w:rPr>
                <w:b/>
                <w:i/>
                <w:lang w:val="en-GB"/>
              </w:rPr>
              <w:t xml:space="preserve"> order to tackle the EU-wide biodiversity decline, it is essential to ensure a minimum level of non-productive areas and features under conditionality and eco-schemes in all Member States. In this context, Member States </w:t>
            </w:r>
            <w:commentRangeStart w:id="0"/>
            <w:r w:rsidRPr="006D22F9">
              <w:rPr>
                <w:b/>
                <w:i/>
                <w:lang w:val="en-GB"/>
              </w:rPr>
              <w:t>should aim</w:t>
            </w:r>
            <w:commentRangeEnd w:id="0"/>
            <w:r w:rsidR="00027D7C">
              <w:rPr>
                <w:rStyle w:val="CommentReference"/>
                <w:lang w:val="en-GB"/>
              </w:rPr>
              <w:commentReference w:id="0"/>
            </w:r>
            <w:r w:rsidRPr="006D22F9">
              <w:rPr>
                <w:b/>
                <w:i/>
                <w:lang w:val="en-GB"/>
              </w:rPr>
              <w:t>, in their Strategic Plans, to provide an area of at least 10% of landscape elements beneficial for biodiversity. These should include, inter alia, buffer strips, rotational or non-rotational fallow land, hedges, non-productive trees, terrace walls, and ponds, all of which contribute to enhancing carbon sequestration, preventing soil erosion and depletion, filtering air and water, and supporting climate adaptation.</w:t>
            </w:r>
          </w:p>
        </w:tc>
      </w:tr>
    </w:tbl>
    <w:p w14:paraId="655ED142"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018EB336" w14:textId="77777777" w:rsidR="004A6753" w:rsidRPr="001F36C8" w:rsidRDefault="004A6753" w:rsidP="004A6753">
      <w:r w:rsidRPr="001F36C8">
        <w:rPr>
          <w:rStyle w:val="HideTWBExt"/>
        </w:rPr>
        <w:t>&lt;/Amend&gt;</w:t>
      </w:r>
    </w:p>
    <w:p w14:paraId="5A7DD71D"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6D22F9">
        <w:rPr>
          <w:color w:val="000000"/>
          <w:lang w:val="en-GB"/>
        </w:rPr>
        <w:t>2</w:t>
      </w:r>
      <w:r w:rsidRPr="001F36C8">
        <w:rPr>
          <w:rStyle w:val="HideTWBExt"/>
          <w:b w:val="0"/>
          <w:lang w:val="en-GB"/>
        </w:rPr>
        <w:t>&lt;/NumAm&gt;</w:t>
      </w:r>
    </w:p>
    <w:p w14:paraId="28B24BBB"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5B0FFBDB" w14:textId="77777777" w:rsidR="004A6753" w:rsidRPr="00ED66A2" w:rsidRDefault="004A6753" w:rsidP="004A6753">
      <w:r w:rsidRPr="007E6396">
        <w:rPr>
          <w:rStyle w:val="HideTWBExt"/>
        </w:rPr>
        <w:t>&lt;/RepeatBlock-By&gt;</w:t>
      </w:r>
    </w:p>
    <w:p w14:paraId="0F3DDFDF"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53C22349"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12</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2FD70E65" w14:textId="77777777" w:rsidTr="0081007B">
        <w:trPr>
          <w:jc w:val="center"/>
        </w:trPr>
        <w:tc>
          <w:tcPr>
            <w:tcW w:w="9752" w:type="dxa"/>
            <w:gridSpan w:val="2"/>
          </w:tcPr>
          <w:p w14:paraId="59D086FA" w14:textId="77777777" w:rsidR="004A6753" w:rsidRPr="001F36C8" w:rsidRDefault="004A6753" w:rsidP="0081007B">
            <w:pPr>
              <w:keepNext/>
            </w:pPr>
          </w:p>
        </w:tc>
      </w:tr>
      <w:tr w:rsidR="004A6753" w:rsidRPr="001F36C8" w14:paraId="4239077B" w14:textId="77777777" w:rsidTr="0081007B">
        <w:trPr>
          <w:jc w:val="center"/>
        </w:trPr>
        <w:tc>
          <w:tcPr>
            <w:tcW w:w="4876" w:type="dxa"/>
          </w:tcPr>
          <w:p w14:paraId="68500FE8"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627F219A" w14:textId="77777777" w:rsidR="004A6753" w:rsidRPr="001F36C8" w:rsidRDefault="004A6753" w:rsidP="0081007B">
            <w:pPr>
              <w:pStyle w:val="ColumnHeading"/>
              <w:keepNext/>
              <w:rPr>
                <w:lang w:val="en-GB"/>
              </w:rPr>
            </w:pPr>
            <w:r w:rsidRPr="001F36C8">
              <w:rPr>
                <w:lang w:val="en-GB"/>
              </w:rPr>
              <w:t>Amendment</w:t>
            </w:r>
          </w:p>
        </w:tc>
      </w:tr>
      <w:tr w:rsidR="004A6753" w:rsidRPr="001F36C8" w14:paraId="778DD72F" w14:textId="77777777" w:rsidTr="0081007B">
        <w:trPr>
          <w:jc w:val="center"/>
        </w:trPr>
        <w:tc>
          <w:tcPr>
            <w:tcW w:w="4876" w:type="dxa"/>
          </w:tcPr>
          <w:p w14:paraId="20E0E129" w14:textId="77777777" w:rsidR="004A6753" w:rsidRPr="00EE201B" w:rsidRDefault="00EE201B" w:rsidP="0081007B">
            <w:pPr>
              <w:pStyle w:val="Normal6"/>
              <w:rPr>
                <w:lang w:val="en-GB"/>
              </w:rPr>
            </w:pPr>
            <w:r w:rsidRPr="00EE201B">
              <w:rPr>
                <w:lang w:val="en-GB"/>
              </w:rPr>
              <w:t>12</w:t>
            </w:r>
            <w:r w:rsidRPr="00EE201B">
              <w:rPr>
                <w:lang w:val="en-GB"/>
              </w:rPr>
              <w:tab/>
              <w:t>Obligations of Member States relating to good agricultural and environmental condition</w:t>
            </w:r>
          </w:p>
        </w:tc>
        <w:tc>
          <w:tcPr>
            <w:tcW w:w="4876" w:type="dxa"/>
          </w:tcPr>
          <w:p w14:paraId="6E2AB5D0" w14:textId="77777777" w:rsidR="004A6753" w:rsidRPr="001F36C8" w:rsidRDefault="00EE201B" w:rsidP="0081007B">
            <w:pPr>
              <w:pStyle w:val="Normal6"/>
              <w:rPr>
                <w:szCs w:val="24"/>
                <w:lang w:val="en-GB"/>
              </w:rPr>
            </w:pPr>
            <w:r w:rsidRPr="00EE201B">
              <w:rPr>
                <w:lang w:val="en-GB"/>
              </w:rPr>
              <w:t>12</w:t>
            </w:r>
            <w:r w:rsidRPr="00EE201B">
              <w:rPr>
                <w:lang w:val="en-GB"/>
              </w:rPr>
              <w:tab/>
              <w:t>Obligations of Member States relating to good agricultural and environmental condition</w:t>
            </w:r>
          </w:p>
        </w:tc>
      </w:tr>
      <w:tr w:rsidR="004A6753" w:rsidRPr="001F36C8" w14:paraId="1AE70ACC" w14:textId="77777777" w:rsidTr="0081007B">
        <w:trPr>
          <w:jc w:val="center"/>
        </w:trPr>
        <w:tc>
          <w:tcPr>
            <w:tcW w:w="4876" w:type="dxa"/>
          </w:tcPr>
          <w:p w14:paraId="17851233" w14:textId="77777777" w:rsidR="004A6753" w:rsidRPr="00EE201B" w:rsidRDefault="00EE201B" w:rsidP="0081007B">
            <w:pPr>
              <w:pStyle w:val="Normal6"/>
              <w:rPr>
                <w:lang w:val="en-GB"/>
              </w:rPr>
            </w:pPr>
            <w:r w:rsidRPr="00EE201B">
              <w:rPr>
                <w:lang w:val="en-GB"/>
              </w:rPr>
              <w:t>1.</w:t>
            </w:r>
            <w:r w:rsidRPr="00EE201B">
              <w:rPr>
                <w:lang w:val="en-GB"/>
              </w:rPr>
              <w:tab/>
              <w:t xml:space="preserve">Member States shall ensure that all agricultural areas including land which is no longer used for production purposes, </w:t>
            </w:r>
            <w:r w:rsidRPr="006D22F9">
              <w:rPr>
                <w:b/>
                <w:i/>
                <w:lang w:val="en-GB"/>
              </w:rPr>
              <w:t>is</w:t>
            </w:r>
            <w:r w:rsidRPr="00EE201B">
              <w:rPr>
                <w:lang w:val="en-GB"/>
              </w:rPr>
              <w:t xml:space="preserve"> maintained in good agricultural and environmental condition. Member States shall define, at national or regional level, minimum standards for beneficiaries for good agricultural and environmental condition of land in line with the main objective of the standards as referred to in Annex III, taking into account the specific characteristics of the areas concerned, </w:t>
            </w:r>
            <w:r w:rsidRPr="00EE201B">
              <w:rPr>
                <w:lang w:val="en-GB"/>
              </w:rPr>
              <w:lastRenderedPageBreak/>
              <w:t>including soil and climatic condition, existing farming systems, land use, crop rotation, farming practices, and farm structures</w:t>
            </w:r>
            <w:r w:rsidRPr="006D22F9">
              <w:rPr>
                <w:b/>
                <w:i/>
                <w:lang w:val="en-GB"/>
              </w:rPr>
              <w:t>.</w:t>
            </w:r>
          </w:p>
        </w:tc>
        <w:tc>
          <w:tcPr>
            <w:tcW w:w="4876" w:type="dxa"/>
          </w:tcPr>
          <w:p w14:paraId="6717E632" w14:textId="77777777" w:rsidR="004A6753" w:rsidRPr="001F36C8" w:rsidRDefault="00EE201B" w:rsidP="0081007B">
            <w:pPr>
              <w:pStyle w:val="Normal6"/>
              <w:rPr>
                <w:szCs w:val="24"/>
                <w:lang w:val="en-GB"/>
              </w:rPr>
            </w:pPr>
            <w:r w:rsidRPr="00EE201B">
              <w:rPr>
                <w:lang w:val="en-GB"/>
              </w:rPr>
              <w:lastRenderedPageBreak/>
              <w:t>1.</w:t>
            </w:r>
            <w:r w:rsidRPr="00EE201B">
              <w:rPr>
                <w:lang w:val="en-GB"/>
              </w:rPr>
              <w:tab/>
              <w:t>Member States shall ensure that all agricultural areas</w:t>
            </w:r>
            <w:r w:rsidRPr="006D22F9">
              <w:rPr>
                <w:b/>
                <w:i/>
                <w:lang w:val="en-GB"/>
              </w:rPr>
              <w:t>,</w:t>
            </w:r>
            <w:r w:rsidRPr="00EE201B">
              <w:rPr>
                <w:lang w:val="en-GB"/>
              </w:rPr>
              <w:t xml:space="preserve"> including land which is no longer used for production purposes, </w:t>
            </w:r>
            <w:r w:rsidRPr="006D22F9">
              <w:rPr>
                <w:b/>
                <w:i/>
                <w:lang w:val="en-GB"/>
              </w:rPr>
              <w:t>are</w:t>
            </w:r>
            <w:r w:rsidRPr="00EE201B">
              <w:rPr>
                <w:lang w:val="en-GB"/>
              </w:rPr>
              <w:t xml:space="preserve"> maintained in good agricultural and environmental condition. Member States shall define, </w:t>
            </w:r>
            <w:r w:rsidRPr="006D22F9">
              <w:rPr>
                <w:b/>
                <w:i/>
                <w:lang w:val="en-GB"/>
              </w:rPr>
              <w:t>in consultation with all relevant stakeholders</w:t>
            </w:r>
            <w:r w:rsidRPr="00EE201B">
              <w:rPr>
                <w:lang w:val="en-GB"/>
              </w:rPr>
              <w:t xml:space="preserve"> at national or</w:t>
            </w:r>
            <w:r w:rsidRPr="006D22F9">
              <w:rPr>
                <w:b/>
                <w:i/>
                <w:lang w:val="en-GB"/>
              </w:rPr>
              <w:t>, where appropriate, at</w:t>
            </w:r>
            <w:r w:rsidRPr="00EE201B">
              <w:rPr>
                <w:lang w:val="en-GB"/>
              </w:rPr>
              <w:t xml:space="preserve"> regional level, minimum standards for beneficiaries for good agricultural and environmental condition of land in line with the main objective of the standards as referred to in Annex III, </w:t>
            </w:r>
            <w:r w:rsidRPr="00EE201B">
              <w:rPr>
                <w:lang w:val="en-GB"/>
              </w:rPr>
              <w:lastRenderedPageBreak/>
              <w:t>taking into account the specific characteristics of the areas concerned, including soil and climatic condition, existing farming systems, land use, crop rotation, farming practices, and farm structures</w:t>
            </w:r>
            <w:r w:rsidRPr="006D22F9">
              <w:rPr>
                <w:b/>
                <w:i/>
                <w:lang w:val="en-GB"/>
              </w:rPr>
              <w:t>, thus ensuring that the land contributes to the specific objectives set out in points(d), (e) and (f) of Article 6(1)</w:t>
            </w:r>
          </w:p>
        </w:tc>
      </w:tr>
      <w:tr w:rsidR="004A6753" w:rsidRPr="001F36C8" w14:paraId="3291552E" w14:textId="77777777" w:rsidTr="0081007B">
        <w:trPr>
          <w:jc w:val="center"/>
        </w:trPr>
        <w:tc>
          <w:tcPr>
            <w:tcW w:w="4876" w:type="dxa"/>
          </w:tcPr>
          <w:p w14:paraId="2C95E68A" w14:textId="77777777" w:rsidR="004A6753" w:rsidRPr="00EE201B" w:rsidRDefault="00EE201B" w:rsidP="0081007B">
            <w:pPr>
              <w:pStyle w:val="Normal6"/>
              <w:rPr>
                <w:lang w:val="en-GB"/>
              </w:rPr>
            </w:pPr>
            <w:r w:rsidRPr="00EE201B">
              <w:rPr>
                <w:lang w:val="en-GB"/>
              </w:rPr>
              <w:lastRenderedPageBreak/>
              <w:t>1 a.</w:t>
            </w:r>
            <w:r w:rsidRPr="00EE201B">
              <w:rPr>
                <w:lang w:val="en-GB"/>
              </w:rPr>
              <w:tab/>
            </w:r>
          </w:p>
        </w:tc>
        <w:tc>
          <w:tcPr>
            <w:tcW w:w="4876" w:type="dxa"/>
          </w:tcPr>
          <w:p w14:paraId="0DB9F8FA" w14:textId="77777777" w:rsidR="004A6753" w:rsidRPr="001F36C8" w:rsidRDefault="00EE201B" w:rsidP="0081007B">
            <w:pPr>
              <w:pStyle w:val="Normal6"/>
              <w:rPr>
                <w:szCs w:val="24"/>
                <w:lang w:val="en-GB"/>
              </w:rPr>
            </w:pPr>
            <w:r w:rsidRPr="00EE201B">
              <w:rPr>
                <w:lang w:val="en-GB"/>
              </w:rPr>
              <w:t>1 a.</w:t>
            </w:r>
            <w:r w:rsidRPr="00EE201B">
              <w:rPr>
                <w:lang w:val="en-GB"/>
              </w:rPr>
              <w:tab/>
            </w:r>
          </w:p>
        </w:tc>
      </w:tr>
      <w:tr w:rsidR="004A6753" w:rsidRPr="001F36C8" w14:paraId="4291DA2F" w14:textId="77777777" w:rsidTr="0081007B">
        <w:trPr>
          <w:jc w:val="center"/>
        </w:trPr>
        <w:tc>
          <w:tcPr>
            <w:tcW w:w="4876" w:type="dxa"/>
          </w:tcPr>
          <w:p w14:paraId="0C7D8EB2" w14:textId="77777777" w:rsidR="004A6753" w:rsidRPr="00EE201B" w:rsidRDefault="00EE201B" w:rsidP="0081007B">
            <w:pPr>
              <w:pStyle w:val="Normal6"/>
              <w:rPr>
                <w:lang w:val="en-GB"/>
              </w:rPr>
            </w:pPr>
            <w:r w:rsidRPr="00EE201B">
              <w:rPr>
                <w:lang w:val="en-GB"/>
              </w:rPr>
              <w:t>1 b.</w:t>
            </w:r>
            <w:r w:rsidRPr="00EE201B">
              <w:rPr>
                <w:lang w:val="en-GB"/>
              </w:rPr>
              <w:tab/>
            </w:r>
          </w:p>
        </w:tc>
        <w:tc>
          <w:tcPr>
            <w:tcW w:w="4876" w:type="dxa"/>
          </w:tcPr>
          <w:p w14:paraId="47D7F2FE" w14:textId="77777777" w:rsidR="004A6753" w:rsidRPr="001F36C8" w:rsidRDefault="00EE201B" w:rsidP="0081007B">
            <w:pPr>
              <w:pStyle w:val="Normal6"/>
              <w:rPr>
                <w:szCs w:val="24"/>
                <w:lang w:val="en-GB"/>
              </w:rPr>
            </w:pPr>
            <w:r w:rsidRPr="00EE201B">
              <w:rPr>
                <w:lang w:val="en-GB"/>
              </w:rPr>
              <w:t>1 b.</w:t>
            </w:r>
            <w:r w:rsidRPr="00EE201B">
              <w:rPr>
                <w:lang w:val="en-GB"/>
              </w:rPr>
              <w:tab/>
            </w:r>
          </w:p>
        </w:tc>
      </w:tr>
      <w:tr w:rsidR="004A6753" w:rsidRPr="001F36C8" w14:paraId="4BC968BD" w14:textId="77777777" w:rsidTr="0081007B">
        <w:trPr>
          <w:jc w:val="center"/>
        </w:trPr>
        <w:tc>
          <w:tcPr>
            <w:tcW w:w="4876" w:type="dxa"/>
          </w:tcPr>
          <w:p w14:paraId="706C03BB" w14:textId="77777777" w:rsidR="004A6753" w:rsidRPr="00EE201B" w:rsidRDefault="00EE201B" w:rsidP="0081007B">
            <w:pPr>
              <w:pStyle w:val="Normal6"/>
              <w:rPr>
                <w:lang w:val="en-GB"/>
              </w:rPr>
            </w:pPr>
            <w:r w:rsidRPr="00EE201B">
              <w:rPr>
                <w:lang w:val="en-GB"/>
              </w:rPr>
              <w:t>2.</w:t>
            </w:r>
            <w:r w:rsidRPr="00EE201B">
              <w:rPr>
                <w:lang w:val="en-GB"/>
              </w:rPr>
              <w:tab/>
              <w:t xml:space="preserve">In respect of the main objectives laid down in Annex III Member States </w:t>
            </w:r>
            <w:r w:rsidRPr="006D22F9">
              <w:rPr>
                <w:b/>
                <w:i/>
                <w:lang w:val="en-GB"/>
              </w:rPr>
              <w:t>may</w:t>
            </w:r>
            <w:r w:rsidRPr="00EE201B">
              <w:rPr>
                <w:lang w:val="en-GB"/>
              </w:rPr>
              <w:t xml:space="preserve"> prescribe standards additional to those laid down in that Annex against those main objectives</w:t>
            </w:r>
            <w:r w:rsidRPr="006D22F9">
              <w:rPr>
                <w:b/>
                <w:i/>
                <w:lang w:val="en-GB"/>
              </w:rPr>
              <w:t>. However</w:t>
            </w:r>
            <w:r w:rsidRPr="00EE201B">
              <w:rPr>
                <w:lang w:val="en-GB"/>
              </w:rPr>
              <w:t>, Member States shall not define minimum standards for main objectives other than the main objectives laid down in Annex III</w:t>
            </w:r>
            <w:r w:rsidRPr="006D22F9">
              <w:rPr>
                <w:b/>
                <w:i/>
                <w:lang w:val="en-GB"/>
              </w:rPr>
              <w:t>.</w:t>
            </w:r>
          </w:p>
        </w:tc>
        <w:tc>
          <w:tcPr>
            <w:tcW w:w="4876" w:type="dxa"/>
          </w:tcPr>
          <w:p w14:paraId="7AD801C9" w14:textId="77777777" w:rsidR="004A6753" w:rsidRPr="001F36C8" w:rsidRDefault="00EE201B" w:rsidP="0081007B">
            <w:pPr>
              <w:pStyle w:val="Normal6"/>
              <w:rPr>
                <w:lang w:val="en-GB"/>
              </w:rPr>
            </w:pPr>
            <w:r w:rsidRPr="00EE201B">
              <w:rPr>
                <w:lang w:val="en-GB"/>
              </w:rPr>
              <w:t>2.</w:t>
            </w:r>
            <w:r w:rsidRPr="00EE201B">
              <w:rPr>
                <w:lang w:val="en-GB"/>
              </w:rPr>
              <w:tab/>
            </w:r>
            <w:commentRangeStart w:id="1"/>
            <w:r w:rsidRPr="00EE201B">
              <w:rPr>
                <w:lang w:val="en-GB"/>
              </w:rPr>
              <w:t xml:space="preserve">In </w:t>
            </w:r>
            <w:r w:rsidRPr="006D22F9">
              <w:rPr>
                <w:b/>
                <w:i/>
                <w:lang w:val="en-GB"/>
              </w:rPr>
              <w:t>order to protect the commonality of the CAP and to ensure a level playing field, and</w:t>
            </w:r>
            <w:r w:rsidRPr="00EE201B">
              <w:rPr>
                <w:lang w:val="en-GB"/>
              </w:rPr>
              <w:t xml:space="preserve"> respect of the main objectives laid down in Annex III Member States </w:t>
            </w:r>
            <w:r w:rsidRPr="006D22F9">
              <w:rPr>
                <w:b/>
                <w:i/>
                <w:lang w:val="en-GB"/>
              </w:rPr>
              <w:t>shall not</w:t>
            </w:r>
            <w:r w:rsidRPr="00EE201B">
              <w:rPr>
                <w:lang w:val="en-GB"/>
              </w:rPr>
              <w:t xml:space="preserve"> prescribe standards additional to those laid down in that Annex against those main objectives</w:t>
            </w:r>
            <w:commentRangeEnd w:id="1"/>
            <w:r w:rsidR="0090218D">
              <w:rPr>
                <w:rStyle w:val="CommentReference"/>
                <w:lang w:val="en-GB"/>
              </w:rPr>
              <w:commentReference w:id="1"/>
            </w:r>
            <w:r w:rsidRPr="006D22F9">
              <w:rPr>
                <w:b/>
                <w:i/>
                <w:lang w:val="en-GB"/>
              </w:rPr>
              <w:t>, within the system of conditionality. In addition</w:t>
            </w:r>
            <w:r w:rsidRPr="00EE201B">
              <w:rPr>
                <w:lang w:val="en-GB"/>
              </w:rPr>
              <w:t>, Member States shall not define minimum standards for main objectives other than the main objectives laid down in Annex III</w:t>
            </w:r>
          </w:p>
        </w:tc>
      </w:tr>
      <w:tr w:rsidR="004A6753" w:rsidRPr="001F36C8" w14:paraId="5DE925E2" w14:textId="77777777" w:rsidTr="0081007B">
        <w:trPr>
          <w:jc w:val="center"/>
        </w:trPr>
        <w:tc>
          <w:tcPr>
            <w:tcW w:w="4876" w:type="dxa"/>
          </w:tcPr>
          <w:p w14:paraId="08C40A15" w14:textId="77777777" w:rsidR="004A6753" w:rsidRPr="00EE201B" w:rsidRDefault="004A6753" w:rsidP="0081007B">
            <w:pPr>
              <w:pStyle w:val="Normal6"/>
              <w:rPr>
                <w:lang w:val="en-GB"/>
              </w:rPr>
            </w:pPr>
          </w:p>
        </w:tc>
        <w:tc>
          <w:tcPr>
            <w:tcW w:w="4876" w:type="dxa"/>
          </w:tcPr>
          <w:p w14:paraId="63C37EED" w14:textId="77777777" w:rsidR="004A6753" w:rsidRPr="001F36C8" w:rsidRDefault="00EE201B" w:rsidP="0081007B">
            <w:pPr>
              <w:pStyle w:val="Normal6"/>
              <w:rPr>
                <w:szCs w:val="24"/>
                <w:lang w:val="en-GB"/>
              </w:rPr>
            </w:pPr>
            <w:r w:rsidRPr="006D22F9">
              <w:rPr>
                <w:b/>
                <w:i/>
                <w:lang w:val="en-GB"/>
              </w:rPr>
              <w:t>Member States shall provide the beneficiaries concerned, where appropriate by the use of electronic means, with the list of the requirements and standards to be applied at farm level, as well as clear and precise information thereon.</w:t>
            </w:r>
          </w:p>
        </w:tc>
      </w:tr>
      <w:tr w:rsidR="004A6753" w:rsidRPr="001F36C8" w14:paraId="045E9490" w14:textId="77777777" w:rsidTr="0081007B">
        <w:trPr>
          <w:jc w:val="center"/>
        </w:trPr>
        <w:tc>
          <w:tcPr>
            <w:tcW w:w="4876" w:type="dxa"/>
          </w:tcPr>
          <w:p w14:paraId="545F3C7F" w14:textId="77777777" w:rsidR="004A6753" w:rsidRPr="00EE201B" w:rsidRDefault="004A6753" w:rsidP="0081007B">
            <w:pPr>
              <w:pStyle w:val="Normal6"/>
              <w:rPr>
                <w:lang w:val="en-GB"/>
              </w:rPr>
            </w:pPr>
          </w:p>
        </w:tc>
        <w:tc>
          <w:tcPr>
            <w:tcW w:w="4876" w:type="dxa"/>
          </w:tcPr>
          <w:p w14:paraId="64A0B577" w14:textId="77777777" w:rsidR="004A6753" w:rsidRPr="001F36C8" w:rsidRDefault="00EE201B" w:rsidP="0081007B">
            <w:pPr>
              <w:pStyle w:val="Normal6"/>
              <w:rPr>
                <w:lang w:val="en-GB"/>
              </w:rPr>
            </w:pPr>
            <w:r w:rsidRPr="006D22F9">
              <w:rPr>
                <w:b/>
                <w:i/>
                <w:lang w:val="en-GB"/>
              </w:rPr>
              <w:t xml:space="preserve">2 </w:t>
            </w:r>
            <w:proofErr w:type="spellStart"/>
            <w:proofErr w:type="gramStart"/>
            <w:r w:rsidRPr="006D22F9">
              <w:rPr>
                <w:b/>
                <w:i/>
                <w:lang w:val="en-GB"/>
              </w:rPr>
              <w:t>a.</w:t>
            </w:r>
            <w:r w:rsidRPr="00E25882">
              <w:rPr>
                <w:b/>
                <w:i/>
                <w:lang w:val="en-GB"/>
              </w:rPr>
              <w:t>Farmers</w:t>
            </w:r>
            <w:proofErr w:type="spellEnd"/>
            <w:proofErr w:type="gramEnd"/>
            <w:r w:rsidRPr="00E25882">
              <w:rPr>
                <w:b/>
                <w:i/>
                <w:lang w:val="en-GB"/>
              </w:rPr>
              <w:t xml:space="preserve"> satisfying the requirements laid down in Regulation (EU) No 2018/848 on organic agriculture shall, in doing so, be deemed to comply with rule 8 on standards for good agricultural and environmental condition of land (GAEC) as laid down in Annex III to this Regulation.</w:t>
            </w:r>
          </w:p>
        </w:tc>
      </w:tr>
      <w:tr w:rsidR="004A6753" w:rsidRPr="001F36C8" w14:paraId="30960EB3" w14:textId="77777777" w:rsidTr="0081007B">
        <w:trPr>
          <w:jc w:val="center"/>
        </w:trPr>
        <w:tc>
          <w:tcPr>
            <w:tcW w:w="4876" w:type="dxa"/>
          </w:tcPr>
          <w:p w14:paraId="3B76153B" w14:textId="77777777" w:rsidR="004A6753" w:rsidRPr="00EE201B" w:rsidRDefault="004A6753" w:rsidP="0081007B">
            <w:pPr>
              <w:pStyle w:val="Normal6"/>
              <w:rPr>
                <w:lang w:val="en-GB"/>
              </w:rPr>
            </w:pPr>
          </w:p>
        </w:tc>
        <w:tc>
          <w:tcPr>
            <w:tcW w:w="4876" w:type="dxa"/>
          </w:tcPr>
          <w:p w14:paraId="3C1945C3" w14:textId="77777777" w:rsidR="004A6753" w:rsidRPr="001F36C8" w:rsidRDefault="00EE201B" w:rsidP="0081007B">
            <w:pPr>
              <w:pStyle w:val="Normal6"/>
              <w:rPr>
                <w:lang w:val="en-GB"/>
              </w:rPr>
            </w:pPr>
            <w:r w:rsidRPr="006D22F9">
              <w:rPr>
                <w:b/>
                <w:i/>
                <w:lang w:val="en-GB"/>
              </w:rPr>
              <w:t xml:space="preserve">2 </w:t>
            </w:r>
            <w:proofErr w:type="spellStart"/>
            <w:proofErr w:type="gramStart"/>
            <w:r w:rsidRPr="006D22F9">
              <w:rPr>
                <w:b/>
                <w:i/>
                <w:lang w:val="en-GB"/>
              </w:rPr>
              <w:t>b.The</w:t>
            </w:r>
            <w:proofErr w:type="spellEnd"/>
            <w:proofErr w:type="gramEnd"/>
            <w:r w:rsidRPr="006D22F9">
              <w:rPr>
                <w:b/>
                <w:i/>
                <w:lang w:val="en-GB"/>
              </w:rPr>
              <w:t xml:space="preserve"> </w:t>
            </w:r>
            <w:commentRangeStart w:id="2"/>
            <w:r w:rsidRPr="006D22F9">
              <w:rPr>
                <w:b/>
                <w:i/>
                <w:lang w:val="en-GB"/>
              </w:rPr>
              <w:t xml:space="preserve">outermost </w:t>
            </w:r>
            <w:commentRangeEnd w:id="2"/>
            <w:r>
              <w:rPr>
                <w:rStyle w:val="CommentReference"/>
              </w:rPr>
              <w:commentReference w:id="2"/>
            </w:r>
            <w:r w:rsidRPr="006D22F9">
              <w:rPr>
                <w:b/>
                <w:i/>
                <w:lang w:val="en-GB"/>
              </w:rPr>
              <w:t>regions of the Union, defined pursuant to Article 349 TFEU and the smaller Aegean islands as defined in Article 1(2) of Regulation (EU) No 229/2013, shall be exempt from the standards of good agricultural and environmental condition of lands requirements 1, 2, 8 and 9, as laid down in Annex III to this Regulation.</w:t>
            </w:r>
          </w:p>
        </w:tc>
      </w:tr>
      <w:tr w:rsidR="004A6753" w:rsidRPr="001F36C8" w14:paraId="09EE253A" w14:textId="77777777" w:rsidTr="0081007B">
        <w:trPr>
          <w:jc w:val="center"/>
        </w:trPr>
        <w:tc>
          <w:tcPr>
            <w:tcW w:w="4876" w:type="dxa"/>
          </w:tcPr>
          <w:p w14:paraId="07BEC019" w14:textId="77777777" w:rsidR="004A6753" w:rsidRPr="00EE201B" w:rsidRDefault="004A6753" w:rsidP="0081007B">
            <w:pPr>
              <w:pStyle w:val="Normal6"/>
              <w:rPr>
                <w:lang w:val="en-GB"/>
              </w:rPr>
            </w:pPr>
          </w:p>
        </w:tc>
        <w:tc>
          <w:tcPr>
            <w:tcW w:w="4876" w:type="dxa"/>
          </w:tcPr>
          <w:p w14:paraId="3BDC351B" w14:textId="77777777" w:rsidR="004A6753" w:rsidRPr="001F36C8" w:rsidRDefault="00EE201B" w:rsidP="0081007B">
            <w:pPr>
              <w:pStyle w:val="Normal6"/>
              <w:rPr>
                <w:lang w:val="en-GB"/>
              </w:rPr>
            </w:pPr>
            <w:commentRangeStart w:id="3"/>
            <w:r w:rsidRPr="006D22F9">
              <w:rPr>
                <w:b/>
                <w:i/>
                <w:lang w:val="en-GB"/>
              </w:rPr>
              <w:t xml:space="preserve">2 </w:t>
            </w:r>
            <w:proofErr w:type="spellStart"/>
            <w:r w:rsidRPr="006D22F9">
              <w:rPr>
                <w:b/>
                <w:i/>
                <w:lang w:val="en-GB"/>
              </w:rPr>
              <w:t>c.Farmers</w:t>
            </w:r>
            <w:proofErr w:type="spellEnd"/>
            <w:r w:rsidRPr="006D22F9">
              <w:rPr>
                <w:b/>
                <w:i/>
                <w:lang w:val="en-GB"/>
              </w:rPr>
              <w:t xml:space="preserve"> participating in voluntary schemes for climate and environment under Article 28 with equivalent agricultural practices to GAECs 1, 8, </w:t>
            </w:r>
            <w:r w:rsidRPr="006D22F9">
              <w:rPr>
                <w:b/>
                <w:i/>
                <w:lang w:val="en-GB"/>
              </w:rPr>
              <w:lastRenderedPageBreak/>
              <w:t>9(a)(d) or 10 are deemed to comply with corresponding standards for good agricultural and environmental condition of land (GAEC) as laid down in Annex III to this Regulation, provided that these schemes deliver higher level of benefit for the climate and environment in relation to GAECs 1, 8, 9(a)(d)or 10. Such practices shall be assessed in accordance with Title V of this Regulation.</w:t>
            </w:r>
            <w:commentRangeEnd w:id="3"/>
            <w:r w:rsidR="00871EAC">
              <w:rPr>
                <w:rStyle w:val="CommentReference"/>
                <w:lang w:val="en-GB"/>
              </w:rPr>
              <w:commentReference w:id="3"/>
            </w:r>
          </w:p>
        </w:tc>
      </w:tr>
      <w:tr w:rsidR="004A6753" w:rsidRPr="001F36C8" w14:paraId="7A2DB8FD" w14:textId="77777777" w:rsidTr="0081007B">
        <w:trPr>
          <w:jc w:val="center"/>
        </w:trPr>
        <w:tc>
          <w:tcPr>
            <w:tcW w:w="4876" w:type="dxa"/>
          </w:tcPr>
          <w:p w14:paraId="1016E270" w14:textId="77777777" w:rsidR="004A6753" w:rsidRPr="00EE201B" w:rsidRDefault="00EE201B" w:rsidP="0081007B">
            <w:pPr>
              <w:pStyle w:val="Normal6"/>
              <w:rPr>
                <w:lang w:val="en-GB"/>
              </w:rPr>
            </w:pPr>
            <w:r w:rsidRPr="00EE201B">
              <w:rPr>
                <w:lang w:val="en-GB"/>
              </w:rPr>
              <w:lastRenderedPageBreak/>
              <w:t>2 d.</w:t>
            </w:r>
            <w:r w:rsidRPr="00EE201B">
              <w:rPr>
                <w:lang w:val="en-GB"/>
              </w:rPr>
              <w:tab/>
            </w:r>
          </w:p>
        </w:tc>
        <w:tc>
          <w:tcPr>
            <w:tcW w:w="4876" w:type="dxa"/>
          </w:tcPr>
          <w:p w14:paraId="58F99749" w14:textId="77777777" w:rsidR="004A6753" w:rsidRPr="001F36C8" w:rsidRDefault="00EE201B" w:rsidP="0081007B">
            <w:pPr>
              <w:pStyle w:val="Normal6"/>
              <w:rPr>
                <w:szCs w:val="24"/>
                <w:lang w:val="en-GB"/>
              </w:rPr>
            </w:pPr>
            <w:r w:rsidRPr="00EE201B">
              <w:rPr>
                <w:lang w:val="en-GB"/>
              </w:rPr>
              <w:t>2 d.</w:t>
            </w:r>
            <w:r w:rsidRPr="00EE201B">
              <w:rPr>
                <w:lang w:val="en-GB"/>
              </w:rPr>
              <w:tab/>
            </w:r>
          </w:p>
        </w:tc>
      </w:tr>
      <w:tr w:rsidR="004A6753" w:rsidRPr="001F36C8" w14:paraId="5D2F6B85" w14:textId="77777777" w:rsidTr="0081007B">
        <w:trPr>
          <w:jc w:val="center"/>
        </w:trPr>
        <w:tc>
          <w:tcPr>
            <w:tcW w:w="4876" w:type="dxa"/>
          </w:tcPr>
          <w:p w14:paraId="471EAA36" w14:textId="77777777" w:rsidR="004A6753" w:rsidRPr="00EE201B" w:rsidRDefault="00EE201B" w:rsidP="0081007B">
            <w:pPr>
              <w:pStyle w:val="Normal6"/>
              <w:rPr>
                <w:lang w:val="en-GB"/>
              </w:rPr>
            </w:pPr>
            <w:r w:rsidRPr="00EE201B">
              <w:rPr>
                <w:lang w:val="en-GB"/>
              </w:rPr>
              <w:t>3.</w:t>
            </w:r>
            <w:r w:rsidRPr="00EE201B">
              <w:rPr>
                <w:lang w:val="en-GB"/>
              </w:rPr>
              <w:tab/>
            </w:r>
          </w:p>
        </w:tc>
        <w:tc>
          <w:tcPr>
            <w:tcW w:w="4876" w:type="dxa"/>
          </w:tcPr>
          <w:p w14:paraId="7E74AD75" w14:textId="77777777" w:rsidR="004A6753" w:rsidRPr="001F36C8" w:rsidRDefault="00EE201B" w:rsidP="0081007B">
            <w:pPr>
              <w:pStyle w:val="Normal6"/>
              <w:rPr>
                <w:szCs w:val="24"/>
                <w:lang w:val="en-GB"/>
              </w:rPr>
            </w:pPr>
            <w:r w:rsidRPr="00EE201B">
              <w:rPr>
                <w:lang w:val="en-GB"/>
              </w:rPr>
              <w:t>3.</w:t>
            </w:r>
            <w:r w:rsidRPr="00EE201B">
              <w:rPr>
                <w:lang w:val="en-GB"/>
              </w:rPr>
              <w:tab/>
            </w:r>
          </w:p>
        </w:tc>
      </w:tr>
      <w:tr w:rsidR="004A6753" w:rsidRPr="001F36C8" w14:paraId="3D386AA1" w14:textId="77777777" w:rsidTr="0081007B">
        <w:trPr>
          <w:jc w:val="center"/>
        </w:trPr>
        <w:tc>
          <w:tcPr>
            <w:tcW w:w="4876" w:type="dxa"/>
          </w:tcPr>
          <w:p w14:paraId="7F3CBDA1" w14:textId="77777777" w:rsidR="004A6753" w:rsidRPr="00EE201B" w:rsidRDefault="00EE201B" w:rsidP="0081007B">
            <w:pPr>
              <w:pStyle w:val="Normal6"/>
              <w:rPr>
                <w:lang w:val="en-GB"/>
              </w:rPr>
            </w:pPr>
            <w:r w:rsidRPr="006D22F9">
              <w:rPr>
                <w:b/>
                <w:i/>
                <w:lang w:val="en-GB"/>
              </w:rPr>
              <w:t>Member States shall establish a system for providing the Farm Sustainability Tool for Nutrients referred to in Annex III, with the minimum content and functionalities defined therein, to beneficiaries, who shall use the Tool.</w:t>
            </w:r>
          </w:p>
        </w:tc>
        <w:tc>
          <w:tcPr>
            <w:tcW w:w="4876" w:type="dxa"/>
          </w:tcPr>
          <w:p w14:paraId="5843D467" w14:textId="77777777" w:rsidR="004A6753" w:rsidRPr="001F36C8" w:rsidRDefault="004A6753" w:rsidP="0081007B">
            <w:pPr>
              <w:pStyle w:val="Normal6"/>
              <w:rPr>
                <w:szCs w:val="24"/>
                <w:lang w:val="en-GB"/>
              </w:rPr>
            </w:pPr>
          </w:p>
        </w:tc>
      </w:tr>
      <w:tr w:rsidR="004A6753" w:rsidRPr="001F36C8" w14:paraId="56E31D5F" w14:textId="77777777" w:rsidTr="0081007B">
        <w:trPr>
          <w:jc w:val="center"/>
        </w:trPr>
        <w:tc>
          <w:tcPr>
            <w:tcW w:w="4876" w:type="dxa"/>
          </w:tcPr>
          <w:p w14:paraId="385F7BF4" w14:textId="77777777" w:rsidR="004A6753" w:rsidRPr="00EE201B" w:rsidRDefault="00EE201B" w:rsidP="0081007B">
            <w:pPr>
              <w:pStyle w:val="Normal6"/>
              <w:rPr>
                <w:lang w:val="en-GB"/>
              </w:rPr>
            </w:pPr>
            <w:r w:rsidRPr="006D22F9">
              <w:rPr>
                <w:b/>
                <w:i/>
                <w:lang w:val="en-GB"/>
              </w:rPr>
              <w:t>The Commission may support the Member States with the design of that Tool and with data storage and processing services requirements.</w:t>
            </w:r>
          </w:p>
        </w:tc>
        <w:tc>
          <w:tcPr>
            <w:tcW w:w="4876" w:type="dxa"/>
          </w:tcPr>
          <w:p w14:paraId="422314D6" w14:textId="77777777" w:rsidR="004A6753" w:rsidRPr="001F36C8" w:rsidRDefault="004A6753" w:rsidP="0081007B">
            <w:pPr>
              <w:pStyle w:val="Normal6"/>
              <w:rPr>
                <w:szCs w:val="24"/>
                <w:lang w:val="en-GB"/>
              </w:rPr>
            </w:pPr>
          </w:p>
        </w:tc>
      </w:tr>
      <w:tr w:rsidR="004A6753" w:rsidRPr="001F36C8" w14:paraId="1828703E" w14:textId="77777777" w:rsidTr="0081007B">
        <w:trPr>
          <w:jc w:val="center"/>
        </w:trPr>
        <w:tc>
          <w:tcPr>
            <w:tcW w:w="4876" w:type="dxa"/>
          </w:tcPr>
          <w:p w14:paraId="61EAB83A" w14:textId="77777777" w:rsidR="004A6753" w:rsidRPr="00EE201B" w:rsidRDefault="00EE201B" w:rsidP="0081007B">
            <w:pPr>
              <w:pStyle w:val="Normal6"/>
              <w:rPr>
                <w:lang w:val="en-GB"/>
              </w:rPr>
            </w:pPr>
            <w:r w:rsidRPr="00EE201B">
              <w:rPr>
                <w:lang w:val="en-GB"/>
              </w:rPr>
              <w:t>4.</w:t>
            </w:r>
            <w:r w:rsidRPr="00EE201B">
              <w:rPr>
                <w:lang w:val="en-GB"/>
              </w:rPr>
              <w:tab/>
              <w:t xml:space="preserve">The Commission is empowered to adopt delegated acts in accordance with Article 138 supplementing this Regulation with rules </w:t>
            </w:r>
            <w:r w:rsidRPr="006D22F9">
              <w:rPr>
                <w:b/>
                <w:i/>
                <w:lang w:val="en-GB"/>
              </w:rPr>
              <w:t>for good agricultural and environmental condition, including establishing the</w:t>
            </w:r>
            <w:r w:rsidRPr="00EE201B">
              <w:rPr>
                <w:lang w:val="en-GB"/>
              </w:rPr>
              <w:t xml:space="preserve"> elements of the system of the ratio of permanent grassland, the year of reference and the rate of conversion under GAEC 1 as referred to in Annex III</w:t>
            </w:r>
            <w:r w:rsidRPr="006D22F9">
              <w:rPr>
                <w:b/>
                <w:i/>
                <w:lang w:val="en-GB"/>
              </w:rPr>
              <w:t>, the format and additional minimum elements and functionalities of the Farm Sustainability Tool for Nutrients</w:t>
            </w:r>
            <w:r w:rsidRPr="00EE201B">
              <w:rPr>
                <w:lang w:val="en-GB"/>
              </w:rPr>
              <w:t>.</w:t>
            </w:r>
          </w:p>
        </w:tc>
        <w:tc>
          <w:tcPr>
            <w:tcW w:w="4876" w:type="dxa"/>
          </w:tcPr>
          <w:p w14:paraId="04AA666F" w14:textId="77777777" w:rsidR="004A6753" w:rsidRPr="001F36C8" w:rsidRDefault="00EE201B" w:rsidP="0081007B">
            <w:pPr>
              <w:pStyle w:val="Normal6"/>
              <w:rPr>
                <w:lang w:val="en-GB"/>
              </w:rPr>
            </w:pPr>
            <w:r w:rsidRPr="00EE201B">
              <w:rPr>
                <w:lang w:val="en-GB"/>
              </w:rPr>
              <w:t>4.</w:t>
            </w:r>
            <w:r w:rsidRPr="00EE201B">
              <w:rPr>
                <w:lang w:val="en-GB"/>
              </w:rPr>
              <w:tab/>
              <w:t xml:space="preserve">The Commission is empowered to adopt delegated acts in accordance with Article 138 supplementing this Regulation with rules </w:t>
            </w:r>
            <w:r w:rsidRPr="006D22F9">
              <w:rPr>
                <w:b/>
                <w:i/>
                <w:lang w:val="en-GB"/>
              </w:rPr>
              <w:t>in relation to further</w:t>
            </w:r>
            <w:r w:rsidRPr="00EE201B">
              <w:rPr>
                <w:lang w:val="en-GB"/>
              </w:rPr>
              <w:t xml:space="preserve"> elements of the system of the ratio of permanent grassland, the year of reference and the rate of conversion under GAEC 1 as referred to in Annex III.</w:t>
            </w:r>
          </w:p>
        </w:tc>
      </w:tr>
    </w:tbl>
    <w:p w14:paraId="6266ABAD"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17D4EBAF" w14:textId="77777777" w:rsidR="004A6753" w:rsidRPr="001F36C8" w:rsidRDefault="004A6753" w:rsidP="004A6753">
      <w:r w:rsidRPr="001F36C8">
        <w:rPr>
          <w:rStyle w:val="HideTWBExt"/>
        </w:rPr>
        <w:t>&lt;/Amend&gt;</w:t>
      </w:r>
    </w:p>
    <w:p w14:paraId="5E625843"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6D22F9">
        <w:rPr>
          <w:color w:val="000000"/>
          <w:lang w:val="en-GB"/>
        </w:rPr>
        <w:t>3</w:t>
      </w:r>
      <w:r w:rsidRPr="001F36C8">
        <w:rPr>
          <w:rStyle w:val="HideTWBExt"/>
          <w:b w:val="0"/>
          <w:lang w:val="en-GB"/>
        </w:rPr>
        <w:t>&lt;/NumAm&gt;</w:t>
      </w:r>
    </w:p>
    <w:p w14:paraId="7DE0EB50"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38B04842" w14:textId="77777777" w:rsidR="004A6753" w:rsidRPr="00ED66A2" w:rsidRDefault="004A6753" w:rsidP="004A6753">
      <w:r w:rsidRPr="007E6396">
        <w:rPr>
          <w:rStyle w:val="HideTWBExt"/>
        </w:rPr>
        <w:t>&lt;/RepeatBlock-By&gt;</w:t>
      </w:r>
    </w:p>
    <w:p w14:paraId="5DD0F0E7"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33B6C175"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13</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7E2E5EB0" w14:textId="77777777" w:rsidTr="0081007B">
        <w:trPr>
          <w:jc w:val="center"/>
        </w:trPr>
        <w:tc>
          <w:tcPr>
            <w:tcW w:w="9752" w:type="dxa"/>
            <w:gridSpan w:val="2"/>
          </w:tcPr>
          <w:p w14:paraId="052882CB" w14:textId="77777777" w:rsidR="004A6753" w:rsidRPr="001F36C8" w:rsidRDefault="004A6753" w:rsidP="0081007B">
            <w:pPr>
              <w:keepNext/>
            </w:pPr>
          </w:p>
        </w:tc>
      </w:tr>
      <w:tr w:rsidR="004A6753" w:rsidRPr="001F36C8" w14:paraId="298A4063" w14:textId="77777777" w:rsidTr="0081007B">
        <w:trPr>
          <w:jc w:val="center"/>
        </w:trPr>
        <w:tc>
          <w:tcPr>
            <w:tcW w:w="4876" w:type="dxa"/>
          </w:tcPr>
          <w:p w14:paraId="53F387F0"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40B2E1B9" w14:textId="77777777" w:rsidR="004A6753" w:rsidRPr="001F36C8" w:rsidRDefault="004A6753" w:rsidP="0081007B">
            <w:pPr>
              <w:pStyle w:val="ColumnHeading"/>
              <w:keepNext/>
              <w:rPr>
                <w:lang w:val="en-GB"/>
              </w:rPr>
            </w:pPr>
            <w:r w:rsidRPr="001F36C8">
              <w:rPr>
                <w:lang w:val="en-GB"/>
              </w:rPr>
              <w:t>Amendment</w:t>
            </w:r>
          </w:p>
        </w:tc>
      </w:tr>
      <w:tr w:rsidR="004A6753" w:rsidRPr="001F36C8" w14:paraId="0D00B176" w14:textId="77777777" w:rsidTr="0081007B">
        <w:trPr>
          <w:jc w:val="center"/>
        </w:trPr>
        <w:tc>
          <w:tcPr>
            <w:tcW w:w="4876" w:type="dxa"/>
          </w:tcPr>
          <w:p w14:paraId="37D4E910" w14:textId="77777777" w:rsidR="004A6753" w:rsidRPr="00EE201B" w:rsidRDefault="00EE201B" w:rsidP="0081007B">
            <w:pPr>
              <w:pStyle w:val="Normal6"/>
              <w:rPr>
                <w:lang w:val="en-GB"/>
              </w:rPr>
            </w:pPr>
            <w:r w:rsidRPr="00EE201B">
              <w:rPr>
                <w:lang w:val="en-GB"/>
              </w:rPr>
              <w:t>13</w:t>
            </w:r>
            <w:r w:rsidRPr="00EE201B">
              <w:rPr>
                <w:lang w:val="en-GB"/>
              </w:rPr>
              <w:tab/>
              <w:t>Farm advisory services</w:t>
            </w:r>
          </w:p>
        </w:tc>
        <w:tc>
          <w:tcPr>
            <w:tcW w:w="4876" w:type="dxa"/>
          </w:tcPr>
          <w:p w14:paraId="7DFDCF25" w14:textId="77777777" w:rsidR="004A6753" w:rsidRPr="001F36C8" w:rsidRDefault="00EE201B" w:rsidP="0081007B">
            <w:pPr>
              <w:pStyle w:val="Normal6"/>
              <w:rPr>
                <w:szCs w:val="24"/>
                <w:lang w:val="en-GB"/>
              </w:rPr>
            </w:pPr>
            <w:r w:rsidRPr="00EE201B">
              <w:rPr>
                <w:lang w:val="en-GB"/>
              </w:rPr>
              <w:t>13</w:t>
            </w:r>
            <w:r w:rsidRPr="00EE201B">
              <w:rPr>
                <w:lang w:val="en-GB"/>
              </w:rPr>
              <w:tab/>
              <w:t>Farm advisory services</w:t>
            </w:r>
          </w:p>
        </w:tc>
      </w:tr>
      <w:tr w:rsidR="004A6753" w:rsidRPr="001F36C8" w14:paraId="33F0232D" w14:textId="77777777" w:rsidTr="0081007B">
        <w:trPr>
          <w:jc w:val="center"/>
        </w:trPr>
        <w:tc>
          <w:tcPr>
            <w:tcW w:w="4876" w:type="dxa"/>
          </w:tcPr>
          <w:p w14:paraId="6EA4A872" w14:textId="77777777" w:rsidR="004A6753" w:rsidRPr="00EE201B" w:rsidRDefault="00EE201B" w:rsidP="0081007B">
            <w:pPr>
              <w:pStyle w:val="Normal6"/>
              <w:rPr>
                <w:lang w:val="en-GB"/>
              </w:rPr>
            </w:pPr>
            <w:r w:rsidRPr="00EE201B">
              <w:rPr>
                <w:lang w:val="en-GB"/>
              </w:rPr>
              <w:t>1.</w:t>
            </w:r>
            <w:r w:rsidRPr="00EE201B">
              <w:rPr>
                <w:lang w:val="en-GB"/>
              </w:rPr>
              <w:tab/>
              <w:t xml:space="preserve">Member States shall include in the CAP Strategic Plan a system providing services for advising farmers and other beneficiaries of CAP support on land </w:t>
            </w:r>
            <w:r w:rsidRPr="00EE201B">
              <w:rPr>
                <w:lang w:val="en-GB"/>
              </w:rPr>
              <w:lastRenderedPageBreak/>
              <w:t>management and farm management ('farm advisory services').</w:t>
            </w:r>
          </w:p>
        </w:tc>
        <w:tc>
          <w:tcPr>
            <w:tcW w:w="4876" w:type="dxa"/>
          </w:tcPr>
          <w:p w14:paraId="3DDF208A" w14:textId="77777777" w:rsidR="004A6753" w:rsidRPr="001F36C8" w:rsidRDefault="00EE201B" w:rsidP="0081007B">
            <w:pPr>
              <w:pStyle w:val="Normal6"/>
              <w:rPr>
                <w:szCs w:val="24"/>
                <w:lang w:val="en-GB"/>
              </w:rPr>
            </w:pPr>
            <w:r w:rsidRPr="00EE201B">
              <w:rPr>
                <w:lang w:val="en-GB"/>
              </w:rPr>
              <w:lastRenderedPageBreak/>
              <w:t>1.</w:t>
            </w:r>
            <w:r w:rsidRPr="00EE201B">
              <w:rPr>
                <w:lang w:val="en-GB"/>
              </w:rPr>
              <w:tab/>
              <w:t xml:space="preserve">Member States shall include in the CAP Strategic Plan a system providing </w:t>
            </w:r>
            <w:r w:rsidRPr="006D22F9">
              <w:rPr>
                <w:b/>
                <w:i/>
                <w:lang w:val="en-GB"/>
              </w:rPr>
              <w:t>quality and independent</w:t>
            </w:r>
            <w:r w:rsidRPr="00EE201B">
              <w:rPr>
                <w:lang w:val="en-GB"/>
              </w:rPr>
              <w:t xml:space="preserve"> services for advising farmers and other beneficiaries of </w:t>
            </w:r>
            <w:r w:rsidRPr="00EE201B">
              <w:rPr>
                <w:lang w:val="en-GB"/>
              </w:rPr>
              <w:lastRenderedPageBreak/>
              <w:t xml:space="preserve">CAP support on land management and farm management ('farm advisory services') </w:t>
            </w:r>
            <w:r w:rsidRPr="006D22F9">
              <w:rPr>
                <w:b/>
                <w:i/>
                <w:lang w:val="en-GB"/>
              </w:rPr>
              <w:t>which, when appropriate, shall build upon any already existing systems at Member States level</w:t>
            </w:r>
            <w:r w:rsidRPr="00EE201B">
              <w:rPr>
                <w:lang w:val="en-GB"/>
              </w:rPr>
              <w:t xml:space="preserve">. </w:t>
            </w:r>
            <w:r w:rsidRPr="006D22F9">
              <w:rPr>
                <w:b/>
                <w:i/>
                <w:lang w:val="en-GB"/>
              </w:rPr>
              <w:t>Member States shall allocate an appropriate budget for the funding of those services and a brief description of those services shall be included in the national CAP Strategic Plans.</w:t>
            </w:r>
          </w:p>
        </w:tc>
      </w:tr>
      <w:tr w:rsidR="004A6753" w:rsidRPr="001F36C8" w14:paraId="443F7E7D" w14:textId="77777777" w:rsidTr="0081007B">
        <w:trPr>
          <w:jc w:val="center"/>
        </w:trPr>
        <w:tc>
          <w:tcPr>
            <w:tcW w:w="4876" w:type="dxa"/>
          </w:tcPr>
          <w:p w14:paraId="1E825568" w14:textId="77777777" w:rsidR="004A6753" w:rsidRPr="00EE201B" w:rsidRDefault="004A6753" w:rsidP="0081007B">
            <w:pPr>
              <w:pStyle w:val="Normal6"/>
              <w:rPr>
                <w:lang w:val="en-GB"/>
              </w:rPr>
            </w:pPr>
          </w:p>
        </w:tc>
        <w:tc>
          <w:tcPr>
            <w:tcW w:w="4876" w:type="dxa"/>
          </w:tcPr>
          <w:p w14:paraId="09134B61" w14:textId="77777777" w:rsidR="004A6753" w:rsidRPr="001F36C8" w:rsidRDefault="00EE201B" w:rsidP="0081007B">
            <w:pPr>
              <w:pStyle w:val="Normal6"/>
              <w:rPr>
                <w:lang w:val="en-GB"/>
              </w:rPr>
            </w:pPr>
            <w:r w:rsidRPr="006D22F9">
              <w:rPr>
                <w:b/>
                <w:i/>
                <w:lang w:val="en-GB"/>
              </w:rPr>
              <w:t xml:space="preserve">Member </w:t>
            </w:r>
            <w:commentRangeStart w:id="4"/>
            <w:r w:rsidRPr="006D22F9">
              <w:rPr>
                <w:b/>
                <w:i/>
                <w:lang w:val="en-GB"/>
              </w:rPr>
              <w:t xml:space="preserve">States </w:t>
            </w:r>
            <w:commentRangeEnd w:id="4"/>
            <w:r>
              <w:rPr>
                <w:rStyle w:val="CommentReference"/>
              </w:rPr>
              <w:commentReference w:id="4"/>
            </w:r>
            <w:r w:rsidRPr="006D22F9">
              <w:rPr>
                <w:b/>
                <w:i/>
                <w:lang w:val="en-GB"/>
              </w:rPr>
              <w:t>shall allocate at least the minimum share of 30 % of allocation related to this article to advisory services and technical assistance contributing to the objectives referred to in points (d), (e), (f) of Article 6(1);</w:t>
            </w:r>
          </w:p>
        </w:tc>
      </w:tr>
      <w:tr w:rsidR="004A6753" w:rsidRPr="001F36C8" w14:paraId="49EE35AD" w14:textId="77777777" w:rsidTr="0081007B">
        <w:trPr>
          <w:jc w:val="center"/>
        </w:trPr>
        <w:tc>
          <w:tcPr>
            <w:tcW w:w="4876" w:type="dxa"/>
          </w:tcPr>
          <w:p w14:paraId="52E4485E" w14:textId="77777777" w:rsidR="004A6753" w:rsidRPr="00EE201B" w:rsidRDefault="00EE201B" w:rsidP="0081007B">
            <w:pPr>
              <w:pStyle w:val="Normal6"/>
              <w:rPr>
                <w:lang w:val="en-GB"/>
              </w:rPr>
            </w:pPr>
            <w:r w:rsidRPr="00EE201B">
              <w:rPr>
                <w:lang w:val="en-GB"/>
              </w:rPr>
              <w:t>2.</w:t>
            </w:r>
            <w:r w:rsidRPr="00EE201B">
              <w:rPr>
                <w:lang w:val="en-GB"/>
              </w:rPr>
              <w:tab/>
              <w:t>The farm advisory services shall cover economic, environmental and social dimensions and deliver up to date technological and scientific information developed by research and innovation. They shall be integrated within the interrelated services of farm advisors, researchers, farmer organisations and other relevant stakeholders that form the Agricultural Knowledge and Innovation Systems (AKIS).</w:t>
            </w:r>
          </w:p>
        </w:tc>
        <w:tc>
          <w:tcPr>
            <w:tcW w:w="4876" w:type="dxa"/>
          </w:tcPr>
          <w:p w14:paraId="1AB91884" w14:textId="77777777" w:rsidR="004A6753" w:rsidRPr="001F36C8" w:rsidRDefault="00EE201B" w:rsidP="0081007B">
            <w:pPr>
              <w:pStyle w:val="Normal6"/>
              <w:rPr>
                <w:szCs w:val="24"/>
                <w:lang w:val="en-GB"/>
              </w:rPr>
            </w:pPr>
            <w:r w:rsidRPr="00EE201B">
              <w:rPr>
                <w:lang w:val="en-GB"/>
              </w:rPr>
              <w:t>2.</w:t>
            </w:r>
            <w:r w:rsidRPr="00EE201B">
              <w:rPr>
                <w:lang w:val="en-GB"/>
              </w:rPr>
              <w:tab/>
              <w:t>The farm advisory services shall cover economic, environmental and social dimensions and deliver up to date technological and scientific information developed by research and innovation</w:t>
            </w:r>
            <w:r w:rsidRPr="006D22F9">
              <w:rPr>
                <w:b/>
                <w:i/>
                <w:lang w:val="en-GB"/>
              </w:rPr>
              <w:t>, taking account of traditional farming practices and techniques</w:t>
            </w:r>
            <w:r w:rsidRPr="00EE201B">
              <w:rPr>
                <w:lang w:val="en-GB"/>
              </w:rPr>
              <w:t xml:space="preserve">. They shall be integrated within the interrelated services of farm </w:t>
            </w:r>
            <w:r w:rsidRPr="006D22F9">
              <w:rPr>
                <w:b/>
                <w:i/>
                <w:lang w:val="en-GB"/>
              </w:rPr>
              <w:t>advisory networks,</w:t>
            </w:r>
            <w:r w:rsidRPr="00EE201B">
              <w:rPr>
                <w:lang w:val="en-GB"/>
              </w:rPr>
              <w:t xml:space="preserve"> advisors, researchers, farmer organisations</w:t>
            </w:r>
            <w:r w:rsidRPr="006D22F9">
              <w:rPr>
                <w:b/>
                <w:i/>
                <w:lang w:val="en-GB"/>
              </w:rPr>
              <w:t>, cooperatives</w:t>
            </w:r>
            <w:r w:rsidRPr="00EE201B">
              <w:rPr>
                <w:lang w:val="en-GB"/>
              </w:rPr>
              <w:t xml:space="preserve"> and other relevant stakeholders that form the Agricultural Knowledge and Innovation Systems (AKIS).</w:t>
            </w:r>
          </w:p>
        </w:tc>
      </w:tr>
      <w:tr w:rsidR="004A6753" w:rsidRPr="001F36C8" w14:paraId="4E9D92D5" w14:textId="77777777" w:rsidTr="0081007B">
        <w:trPr>
          <w:jc w:val="center"/>
        </w:trPr>
        <w:tc>
          <w:tcPr>
            <w:tcW w:w="4876" w:type="dxa"/>
          </w:tcPr>
          <w:p w14:paraId="528E10C1" w14:textId="77777777" w:rsidR="004A6753" w:rsidRPr="00EE201B" w:rsidRDefault="00EE201B" w:rsidP="0081007B">
            <w:pPr>
              <w:pStyle w:val="Normal6"/>
              <w:rPr>
                <w:lang w:val="en-GB"/>
              </w:rPr>
            </w:pPr>
            <w:r w:rsidRPr="00EE201B">
              <w:rPr>
                <w:lang w:val="en-GB"/>
              </w:rPr>
              <w:t>3.</w:t>
            </w:r>
            <w:r w:rsidRPr="00EE201B">
              <w:rPr>
                <w:lang w:val="en-GB"/>
              </w:rPr>
              <w:tab/>
              <w:t>Member States shall ensure that the farm advice given is impartial and that advisors have no conflict of interest.</w:t>
            </w:r>
          </w:p>
        </w:tc>
        <w:tc>
          <w:tcPr>
            <w:tcW w:w="4876" w:type="dxa"/>
          </w:tcPr>
          <w:p w14:paraId="2F258CF6" w14:textId="77777777" w:rsidR="004A6753" w:rsidRPr="001F36C8" w:rsidRDefault="00EE201B" w:rsidP="0081007B">
            <w:pPr>
              <w:pStyle w:val="Normal6"/>
              <w:rPr>
                <w:szCs w:val="24"/>
                <w:lang w:val="en-GB"/>
              </w:rPr>
            </w:pPr>
            <w:r w:rsidRPr="00EE201B">
              <w:rPr>
                <w:lang w:val="en-GB"/>
              </w:rPr>
              <w:t>3.</w:t>
            </w:r>
            <w:r w:rsidRPr="00EE201B">
              <w:rPr>
                <w:lang w:val="en-GB"/>
              </w:rPr>
              <w:tab/>
              <w:t>Member States shall ensure that the farm advice given is impartial</w:t>
            </w:r>
            <w:r w:rsidRPr="006D22F9">
              <w:rPr>
                <w:b/>
                <w:i/>
                <w:lang w:val="en-GB"/>
              </w:rPr>
              <w:t>, adapted to the whole range of means of production and farms</w:t>
            </w:r>
            <w:r w:rsidRPr="00EE201B">
              <w:rPr>
                <w:lang w:val="en-GB"/>
              </w:rPr>
              <w:t xml:space="preserve"> and that advisors have no conflict of interest.</w:t>
            </w:r>
          </w:p>
        </w:tc>
      </w:tr>
      <w:tr w:rsidR="004A6753" w:rsidRPr="001F36C8" w14:paraId="3A73F29F" w14:textId="77777777" w:rsidTr="0081007B">
        <w:trPr>
          <w:jc w:val="center"/>
        </w:trPr>
        <w:tc>
          <w:tcPr>
            <w:tcW w:w="4876" w:type="dxa"/>
          </w:tcPr>
          <w:p w14:paraId="0E16CA93" w14:textId="77777777" w:rsidR="004A6753" w:rsidRPr="00EE201B" w:rsidRDefault="004A6753" w:rsidP="0081007B">
            <w:pPr>
              <w:pStyle w:val="Normal6"/>
              <w:rPr>
                <w:lang w:val="en-GB"/>
              </w:rPr>
            </w:pPr>
          </w:p>
        </w:tc>
        <w:tc>
          <w:tcPr>
            <w:tcW w:w="4876" w:type="dxa"/>
          </w:tcPr>
          <w:p w14:paraId="1B663109" w14:textId="77777777" w:rsidR="004A6753" w:rsidRPr="001F36C8" w:rsidRDefault="00EE201B" w:rsidP="0081007B">
            <w:pPr>
              <w:pStyle w:val="Normal6"/>
              <w:rPr>
                <w:szCs w:val="24"/>
                <w:lang w:val="en-GB"/>
              </w:rPr>
            </w:pPr>
            <w:r w:rsidRPr="006D22F9">
              <w:rPr>
                <w:b/>
                <w:i/>
                <w:lang w:val="en-GB"/>
              </w:rPr>
              <w:t xml:space="preserve">3 </w:t>
            </w:r>
            <w:proofErr w:type="spellStart"/>
            <w:proofErr w:type="gramStart"/>
            <w:r w:rsidRPr="006D22F9">
              <w:rPr>
                <w:b/>
                <w:i/>
                <w:lang w:val="en-GB"/>
              </w:rPr>
              <w:t>a.Member</w:t>
            </w:r>
            <w:proofErr w:type="spellEnd"/>
            <w:proofErr w:type="gramEnd"/>
            <w:r w:rsidRPr="006D22F9">
              <w:rPr>
                <w:b/>
                <w:i/>
                <w:lang w:val="en-GB"/>
              </w:rPr>
              <w:t xml:space="preserve"> States shall ensure that farm advisory services are equipped to provide advice on both production and the provision of public goods</w:t>
            </w:r>
          </w:p>
        </w:tc>
      </w:tr>
      <w:tr w:rsidR="004A6753" w:rsidRPr="001F36C8" w14:paraId="2FF2B7A6" w14:textId="77777777" w:rsidTr="0081007B">
        <w:trPr>
          <w:jc w:val="center"/>
        </w:trPr>
        <w:tc>
          <w:tcPr>
            <w:tcW w:w="4876" w:type="dxa"/>
          </w:tcPr>
          <w:p w14:paraId="0D2F9B20" w14:textId="77777777" w:rsidR="004A6753" w:rsidRPr="00EE201B" w:rsidRDefault="00EE201B" w:rsidP="0081007B">
            <w:pPr>
              <w:pStyle w:val="Normal6"/>
              <w:rPr>
                <w:lang w:val="en-GB"/>
              </w:rPr>
            </w:pPr>
            <w:r w:rsidRPr="00EE201B">
              <w:rPr>
                <w:lang w:val="en-GB"/>
              </w:rPr>
              <w:t>4.</w:t>
            </w:r>
            <w:r w:rsidRPr="00EE201B">
              <w:rPr>
                <w:lang w:val="en-GB"/>
              </w:rPr>
              <w:tab/>
              <w:t>The farm advisory services shall cover at least the following:</w:t>
            </w:r>
          </w:p>
        </w:tc>
        <w:tc>
          <w:tcPr>
            <w:tcW w:w="4876" w:type="dxa"/>
          </w:tcPr>
          <w:p w14:paraId="765EDA89" w14:textId="77777777" w:rsidR="004A6753" w:rsidRPr="001F36C8" w:rsidRDefault="00EE201B" w:rsidP="0081007B">
            <w:pPr>
              <w:pStyle w:val="Normal6"/>
              <w:rPr>
                <w:szCs w:val="24"/>
                <w:lang w:val="en-GB"/>
              </w:rPr>
            </w:pPr>
            <w:r w:rsidRPr="00EE201B">
              <w:rPr>
                <w:lang w:val="en-GB"/>
              </w:rPr>
              <w:t>4.</w:t>
            </w:r>
            <w:r w:rsidRPr="00EE201B">
              <w:rPr>
                <w:lang w:val="en-GB"/>
              </w:rPr>
              <w:tab/>
              <w:t xml:space="preserve">The farm advisory services </w:t>
            </w:r>
            <w:r w:rsidRPr="006D22F9">
              <w:rPr>
                <w:b/>
                <w:i/>
                <w:lang w:val="en-GB"/>
              </w:rPr>
              <w:t>established by the Member State</w:t>
            </w:r>
            <w:r w:rsidRPr="00EE201B">
              <w:rPr>
                <w:lang w:val="en-GB"/>
              </w:rPr>
              <w:t xml:space="preserve"> shall cover at least the following:</w:t>
            </w:r>
          </w:p>
        </w:tc>
      </w:tr>
      <w:tr w:rsidR="004A6753" w:rsidRPr="001F36C8" w14:paraId="7532AF2D" w14:textId="77777777" w:rsidTr="0081007B">
        <w:trPr>
          <w:jc w:val="center"/>
        </w:trPr>
        <w:tc>
          <w:tcPr>
            <w:tcW w:w="4876" w:type="dxa"/>
          </w:tcPr>
          <w:p w14:paraId="0D7C3B24" w14:textId="77777777" w:rsidR="004A6753" w:rsidRPr="00EE201B" w:rsidRDefault="00EE201B" w:rsidP="0081007B">
            <w:pPr>
              <w:pStyle w:val="Normal6"/>
              <w:rPr>
                <w:lang w:val="en-GB"/>
              </w:rPr>
            </w:pPr>
            <w:r w:rsidRPr="00EE201B">
              <w:rPr>
                <w:lang w:val="en-GB"/>
              </w:rPr>
              <w:t>(a)</w:t>
            </w:r>
            <w:r w:rsidRPr="00EE201B">
              <w:rPr>
                <w:lang w:val="en-GB"/>
              </w:rPr>
              <w:tab/>
              <w:t xml:space="preserve">all requirements, conditions and management commitments applying to farmers and other beneficiaries set in the CAP Strategic Plan, including requirements and standards under conditionality and conditions for support schemes as well as information on financial instruments and business plans </w:t>
            </w:r>
            <w:r w:rsidRPr="00EE201B">
              <w:rPr>
                <w:lang w:val="en-GB"/>
              </w:rPr>
              <w:lastRenderedPageBreak/>
              <w:t>established under the CAP Strategic Plan;</w:t>
            </w:r>
          </w:p>
        </w:tc>
        <w:tc>
          <w:tcPr>
            <w:tcW w:w="4876" w:type="dxa"/>
          </w:tcPr>
          <w:p w14:paraId="71F593C4" w14:textId="77777777" w:rsidR="004A6753" w:rsidRPr="001F36C8" w:rsidRDefault="00EE201B" w:rsidP="0081007B">
            <w:pPr>
              <w:pStyle w:val="Normal6"/>
              <w:rPr>
                <w:szCs w:val="24"/>
                <w:lang w:val="en-GB"/>
              </w:rPr>
            </w:pPr>
            <w:r w:rsidRPr="00EE201B">
              <w:rPr>
                <w:lang w:val="en-GB"/>
              </w:rPr>
              <w:lastRenderedPageBreak/>
              <w:t>(a)</w:t>
            </w:r>
            <w:r w:rsidRPr="00EE201B">
              <w:rPr>
                <w:lang w:val="en-GB"/>
              </w:rPr>
              <w:tab/>
              <w:t>all requirements, conditions and management commitments applying to farmers and other beneficiaries set in the CAP Strategic Plan, including requirements and standards under conditionality</w:t>
            </w:r>
            <w:r w:rsidRPr="006D22F9">
              <w:rPr>
                <w:b/>
                <w:i/>
                <w:lang w:val="en-GB"/>
              </w:rPr>
              <w:t xml:space="preserve">, eco-schemes, environmental, climate and other management commitments under Article </w:t>
            </w:r>
            <w:r w:rsidRPr="006D22F9">
              <w:rPr>
                <w:b/>
                <w:i/>
                <w:lang w:val="en-GB"/>
              </w:rPr>
              <w:lastRenderedPageBreak/>
              <w:t>65</w:t>
            </w:r>
            <w:r w:rsidRPr="00EE201B">
              <w:rPr>
                <w:lang w:val="en-GB"/>
              </w:rPr>
              <w:t xml:space="preserve"> and conditions for support schemes as well as information on financial instruments and business plans established under the CAP Strategic Plan;</w:t>
            </w:r>
          </w:p>
        </w:tc>
      </w:tr>
      <w:tr w:rsidR="004A6753" w:rsidRPr="001F36C8" w14:paraId="22C4868A" w14:textId="77777777" w:rsidTr="0081007B">
        <w:trPr>
          <w:jc w:val="center"/>
        </w:trPr>
        <w:tc>
          <w:tcPr>
            <w:tcW w:w="4876" w:type="dxa"/>
          </w:tcPr>
          <w:p w14:paraId="34773D9F" w14:textId="77777777" w:rsidR="004A6753" w:rsidRPr="00EE201B" w:rsidRDefault="00EE201B" w:rsidP="0081007B">
            <w:pPr>
              <w:pStyle w:val="Normal6"/>
              <w:rPr>
                <w:lang w:val="en-GB"/>
              </w:rPr>
            </w:pPr>
            <w:r w:rsidRPr="00EE201B">
              <w:rPr>
                <w:lang w:val="en-GB"/>
              </w:rPr>
              <w:lastRenderedPageBreak/>
              <w:t>(b)</w:t>
            </w:r>
            <w:r w:rsidRPr="00EE201B">
              <w:rPr>
                <w:lang w:val="en-GB"/>
              </w:rPr>
              <w:tab/>
              <w:t>the requirements as defined by Member States for implementing Directive 2000/60/EC, Directive 92/43/EEC, Directive 2009/147/EC, Directive 2008/50/EC, Directive (EU) 2016/2284, Regulation (EU) 2016/2031, Regulation (EU) 2016/429, Article 55 of Regulation (EC) No 1107/2009 of the European Parliament and of the Council</w:t>
            </w:r>
            <w:r w:rsidRPr="00EE201B">
              <w:rPr>
                <w:vertAlign w:val="superscript"/>
                <w:lang w:val="en-GB"/>
              </w:rPr>
              <w:t>30</w:t>
            </w:r>
            <w:r w:rsidRPr="00EE201B">
              <w:rPr>
                <w:lang w:val="en-GB"/>
              </w:rPr>
              <w:t xml:space="preserve"> and Directive 2009/128/EC;</w:t>
            </w:r>
          </w:p>
        </w:tc>
        <w:tc>
          <w:tcPr>
            <w:tcW w:w="4876" w:type="dxa"/>
          </w:tcPr>
          <w:p w14:paraId="5D83C25E" w14:textId="77777777" w:rsidR="004A6753" w:rsidRPr="001F36C8" w:rsidRDefault="00EE201B" w:rsidP="0081007B">
            <w:pPr>
              <w:pStyle w:val="Normal6"/>
              <w:rPr>
                <w:szCs w:val="24"/>
                <w:lang w:val="en-GB"/>
              </w:rPr>
            </w:pPr>
            <w:r w:rsidRPr="00EE201B">
              <w:rPr>
                <w:lang w:val="en-GB"/>
              </w:rPr>
              <w:t>(b)</w:t>
            </w:r>
            <w:r w:rsidRPr="00EE201B">
              <w:rPr>
                <w:lang w:val="en-GB"/>
              </w:rPr>
              <w:tab/>
              <w:t>the requirements as defined by Member States for implementing Directive 2000/60/EC, Directive 92/43/EEC, Directive 2009/147/EC, Directive 2008/50/EC, Directive (EU) 2016/2284, Regulation (EU) 2016/2031, Regulation (EU) 2016/429, Article 55 of Regulation (EC) No 1107/2009 of the European Parliament and of the Council</w:t>
            </w:r>
            <w:r w:rsidRPr="00EE201B">
              <w:rPr>
                <w:vertAlign w:val="superscript"/>
                <w:lang w:val="en-GB"/>
              </w:rPr>
              <w:t>30</w:t>
            </w:r>
            <w:r w:rsidRPr="00EE201B">
              <w:rPr>
                <w:lang w:val="en-GB"/>
              </w:rPr>
              <w:t xml:space="preserve"> and Directive 2009/128/EC;</w:t>
            </w:r>
          </w:p>
        </w:tc>
      </w:tr>
      <w:tr w:rsidR="004A6753" w:rsidRPr="001F36C8" w14:paraId="16EB52CC" w14:textId="77777777" w:rsidTr="0081007B">
        <w:trPr>
          <w:jc w:val="center"/>
        </w:trPr>
        <w:tc>
          <w:tcPr>
            <w:tcW w:w="4876" w:type="dxa"/>
          </w:tcPr>
          <w:p w14:paraId="686A0F4F" w14:textId="77777777" w:rsidR="004A6753" w:rsidRPr="00EE201B" w:rsidRDefault="00EE201B" w:rsidP="0081007B">
            <w:pPr>
              <w:pStyle w:val="Normal6"/>
              <w:rPr>
                <w:lang w:val="en-GB"/>
              </w:rPr>
            </w:pPr>
            <w:r w:rsidRPr="00EE201B">
              <w:rPr>
                <w:lang w:val="en-GB"/>
              </w:rPr>
              <w:t>(c)</w:t>
            </w:r>
            <w:r w:rsidRPr="00EE201B">
              <w:rPr>
                <w:lang w:val="en-GB"/>
              </w:rPr>
              <w:tab/>
              <w:t>farm practices preventing the development of antimicrobial resistance as set out in the Communication "A European One Health Action Plan against Antimicrobial Resistance”</w:t>
            </w:r>
            <w:proofErr w:type="gramStart"/>
            <w:r w:rsidRPr="00EE201B">
              <w:rPr>
                <w:vertAlign w:val="superscript"/>
                <w:lang w:val="en-GB"/>
              </w:rPr>
              <w:t>31</w:t>
            </w:r>
            <w:r w:rsidRPr="00EE201B">
              <w:rPr>
                <w:lang w:val="en-GB"/>
              </w:rPr>
              <w:t xml:space="preserve"> ;</w:t>
            </w:r>
            <w:proofErr w:type="gramEnd"/>
          </w:p>
        </w:tc>
        <w:tc>
          <w:tcPr>
            <w:tcW w:w="4876" w:type="dxa"/>
          </w:tcPr>
          <w:p w14:paraId="47DA25DC" w14:textId="77777777" w:rsidR="004A6753" w:rsidRPr="001F36C8" w:rsidRDefault="00EE201B" w:rsidP="0081007B">
            <w:pPr>
              <w:pStyle w:val="Normal6"/>
              <w:rPr>
                <w:szCs w:val="24"/>
                <w:lang w:val="en-GB"/>
              </w:rPr>
            </w:pPr>
            <w:r w:rsidRPr="00EE201B">
              <w:rPr>
                <w:lang w:val="en-GB"/>
              </w:rPr>
              <w:t>(c)</w:t>
            </w:r>
            <w:r w:rsidRPr="00EE201B">
              <w:rPr>
                <w:lang w:val="en-GB"/>
              </w:rPr>
              <w:tab/>
              <w:t>farm practices preventing the development of antimicrobial resistance as set out in the Communication "A European One Health Action Plan against Antimicrobial Resistance”</w:t>
            </w:r>
            <w:proofErr w:type="gramStart"/>
            <w:r w:rsidRPr="00EE201B">
              <w:rPr>
                <w:vertAlign w:val="superscript"/>
                <w:lang w:val="en-GB"/>
              </w:rPr>
              <w:t>31</w:t>
            </w:r>
            <w:r w:rsidRPr="00EE201B">
              <w:rPr>
                <w:lang w:val="en-GB"/>
              </w:rPr>
              <w:t xml:space="preserve"> ;</w:t>
            </w:r>
            <w:proofErr w:type="gramEnd"/>
          </w:p>
        </w:tc>
      </w:tr>
      <w:tr w:rsidR="004A6753" w:rsidRPr="001F36C8" w14:paraId="0171ECCE" w14:textId="77777777" w:rsidTr="0081007B">
        <w:trPr>
          <w:jc w:val="center"/>
        </w:trPr>
        <w:tc>
          <w:tcPr>
            <w:tcW w:w="4876" w:type="dxa"/>
          </w:tcPr>
          <w:p w14:paraId="5CD428D6" w14:textId="77777777" w:rsidR="004A6753" w:rsidRPr="00EE201B" w:rsidRDefault="00EE201B" w:rsidP="0081007B">
            <w:pPr>
              <w:pStyle w:val="Normal6"/>
              <w:rPr>
                <w:lang w:val="en-GB"/>
              </w:rPr>
            </w:pPr>
            <w:r w:rsidRPr="00EE201B">
              <w:rPr>
                <w:lang w:val="en-GB"/>
              </w:rPr>
              <w:t>(d)</w:t>
            </w:r>
            <w:r w:rsidRPr="00EE201B">
              <w:rPr>
                <w:lang w:val="en-GB"/>
              </w:rPr>
              <w:tab/>
              <w:t xml:space="preserve">risk management </w:t>
            </w:r>
            <w:r w:rsidRPr="006D22F9">
              <w:rPr>
                <w:b/>
                <w:i/>
                <w:lang w:val="en-GB"/>
              </w:rPr>
              <w:t>as referred to in Article 70;</w:t>
            </w:r>
          </w:p>
        </w:tc>
        <w:tc>
          <w:tcPr>
            <w:tcW w:w="4876" w:type="dxa"/>
          </w:tcPr>
          <w:p w14:paraId="522F7395" w14:textId="77777777" w:rsidR="004A6753" w:rsidRPr="001F36C8" w:rsidRDefault="00EE201B" w:rsidP="0081007B">
            <w:pPr>
              <w:pStyle w:val="Normal6"/>
              <w:rPr>
                <w:szCs w:val="24"/>
                <w:lang w:val="en-GB"/>
              </w:rPr>
            </w:pPr>
            <w:r w:rsidRPr="00EE201B">
              <w:rPr>
                <w:lang w:val="en-GB"/>
              </w:rPr>
              <w:t>(d)</w:t>
            </w:r>
            <w:r w:rsidRPr="00EE201B">
              <w:rPr>
                <w:lang w:val="en-GB"/>
              </w:rPr>
              <w:tab/>
              <w:t xml:space="preserve">risk </w:t>
            </w:r>
            <w:r w:rsidRPr="006D22F9">
              <w:rPr>
                <w:b/>
                <w:i/>
                <w:lang w:val="en-GB"/>
              </w:rPr>
              <w:t>prevention and</w:t>
            </w:r>
            <w:r w:rsidRPr="00EE201B">
              <w:rPr>
                <w:lang w:val="en-GB"/>
              </w:rPr>
              <w:t xml:space="preserve"> management</w:t>
            </w:r>
          </w:p>
        </w:tc>
      </w:tr>
      <w:tr w:rsidR="004A6753" w:rsidRPr="001F36C8" w14:paraId="05B2A9D9" w14:textId="77777777" w:rsidTr="0081007B">
        <w:trPr>
          <w:jc w:val="center"/>
        </w:trPr>
        <w:tc>
          <w:tcPr>
            <w:tcW w:w="4876" w:type="dxa"/>
          </w:tcPr>
          <w:p w14:paraId="0A964DDE" w14:textId="77777777" w:rsidR="004A6753" w:rsidRPr="00EE201B" w:rsidRDefault="00EE201B" w:rsidP="0081007B">
            <w:pPr>
              <w:pStyle w:val="Normal6"/>
              <w:rPr>
                <w:lang w:val="en-GB"/>
              </w:rPr>
            </w:pPr>
            <w:r w:rsidRPr="00EE201B">
              <w:rPr>
                <w:lang w:val="en-GB"/>
              </w:rPr>
              <w:t>(e)</w:t>
            </w:r>
            <w:r w:rsidRPr="00EE201B">
              <w:rPr>
                <w:lang w:val="en-GB"/>
              </w:rPr>
              <w:tab/>
              <w:t>innovation support in particular for preparing and for implementing Operational Group projects of the European Innovation Partnership for agricultural productivity and sustainability as referred to in Article 114;</w:t>
            </w:r>
          </w:p>
        </w:tc>
        <w:tc>
          <w:tcPr>
            <w:tcW w:w="4876" w:type="dxa"/>
          </w:tcPr>
          <w:p w14:paraId="4335E583" w14:textId="77777777" w:rsidR="004A6753" w:rsidRPr="001F36C8" w:rsidRDefault="00EE201B" w:rsidP="0081007B">
            <w:pPr>
              <w:pStyle w:val="Normal6"/>
              <w:rPr>
                <w:szCs w:val="24"/>
                <w:lang w:val="en-GB"/>
              </w:rPr>
            </w:pPr>
            <w:r w:rsidRPr="00EE201B">
              <w:rPr>
                <w:lang w:val="en-GB"/>
              </w:rPr>
              <w:t>(e)</w:t>
            </w:r>
            <w:r w:rsidRPr="00EE201B">
              <w:rPr>
                <w:lang w:val="en-GB"/>
              </w:rPr>
              <w:tab/>
              <w:t>innovation support in particular for preparing and for implementing Operational Group projects of the European Innovation Partnership for agricultural productivity and sustainability as referred to in Article 114;</w:t>
            </w:r>
          </w:p>
        </w:tc>
      </w:tr>
      <w:tr w:rsidR="004A6753" w:rsidRPr="001F36C8" w14:paraId="5564EFB3" w14:textId="77777777" w:rsidTr="0081007B">
        <w:trPr>
          <w:jc w:val="center"/>
        </w:trPr>
        <w:tc>
          <w:tcPr>
            <w:tcW w:w="4876" w:type="dxa"/>
          </w:tcPr>
          <w:p w14:paraId="322A9E22" w14:textId="77777777" w:rsidR="004A6753" w:rsidRPr="00EE201B" w:rsidRDefault="00EE201B" w:rsidP="0081007B">
            <w:pPr>
              <w:pStyle w:val="Normal6"/>
              <w:rPr>
                <w:lang w:val="en-GB"/>
              </w:rPr>
            </w:pPr>
            <w:r w:rsidRPr="00EE201B">
              <w:rPr>
                <w:lang w:val="en-GB"/>
              </w:rPr>
              <w:t>(f)</w:t>
            </w:r>
            <w:r w:rsidRPr="00EE201B">
              <w:rPr>
                <w:lang w:val="en-GB"/>
              </w:rPr>
              <w:tab/>
              <w:t>development of digital technologies in agriculture and rural areas as referred to in Article 102(b).</w:t>
            </w:r>
          </w:p>
        </w:tc>
        <w:tc>
          <w:tcPr>
            <w:tcW w:w="4876" w:type="dxa"/>
          </w:tcPr>
          <w:p w14:paraId="28014FF3" w14:textId="77777777" w:rsidR="004A6753" w:rsidRPr="001F36C8" w:rsidRDefault="00EE201B" w:rsidP="0081007B">
            <w:pPr>
              <w:pStyle w:val="Normal6"/>
              <w:rPr>
                <w:szCs w:val="24"/>
                <w:lang w:val="en-GB"/>
              </w:rPr>
            </w:pPr>
            <w:r w:rsidRPr="00EE201B">
              <w:rPr>
                <w:lang w:val="en-GB"/>
              </w:rPr>
              <w:t>(f)</w:t>
            </w:r>
            <w:r w:rsidRPr="00EE201B">
              <w:rPr>
                <w:lang w:val="en-GB"/>
              </w:rPr>
              <w:tab/>
              <w:t>development of digital technologies in agriculture and rural areas as referred to in Article 102(b).</w:t>
            </w:r>
          </w:p>
        </w:tc>
      </w:tr>
      <w:tr w:rsidR="004A6753" w:rsidRPr="001F36C8" w14:paraId="316C7B1D" w14:textId="77777777" w:rsidTr="0081007B">
        <w:trPr>
          <w:jc w:val="center"/>
        </w:trPr>
        <w:tc>
          <w:tcPr>
            <w:tcW w:w="4876" w:type="dxa"/>
          </w:tcPr>
          <w:p w14:paraId="1C4C7860" w14:textId="77777777" w:rsidR="004A6753" w:rsidRPr="00EE201B" w:rsidRDefault="004A6753" w:rsidP="0081007B">
            <w:pPr>
              <w:pStyle w:val="Normal6"/>
              <w:rPr>
                <w:lang w:val="en-GB"/>
              </w:rPr>
            </w:pPr>
          </w:p>
        </w:tc>
        <w:tc>
          <w:tcPr>
            <w:tcW w:w="4876" w:type="dxa"/>
          </w:tcPr>
          <w:p w14:paraId="3CB2C641" w14:textId="77777777" w:rsidR="004A6753" w:rsidRPr="001F36C8" w:rsidRDefault="00EE201B" w:rsidP="0081007B">
            <w:pPr>
              <w:pStyle w:val="Normal6"/>
              <w:rPr>
                <w:szCs w:val="24"/>
                <w:lang w:val="en-GB"/>
              </w:rPr>
            </w:pPr>
            <w:r w:rsidRPr="006D22F9">
              <w:rPr>
                <w:b/>
                <w:i/>
                <w:lang w:val="en-GB"/>
              </w:rPr>
              <w:t xml:space="preserve">(f </w:t>
            </w:r>
            <w:proofErr w:type="gramStart"/>
            <w:r w:rsidRPr="006D22F9">
              <w:rPr>
                <w:b/>
                <w:i/>
                <w:lang w:val="en-GB"/>
              </w:rPr>
              <w:t>a)(</w:t>
            </w:r>
            <w:proofErr w:type="gramEnd"/>
            <w:r w:rsidRPr="006D22F9">
              <w:rPr>
                <w:b/>
                <w:i/>
                <w:lang w:val="en-GB"/>
              </w:rPr>
              <w:t>fa) techniques to optimise the economic performance of production systems, the improvement of competitiveness, market orientation, short supply chains and the promotion of entrepreneurship;</w:t>
            </w:r>
          </w:p>
        </w:tc>
      </w:tr>
      <w:tr w:rsidR="004A6753" w:rsidRPr="001F36C8" w14:paraId="3D073AE2" w14:textId="77777777" w:rsidTr="0081007B">
        <w:trPr>
          <w:jc w:val="center"/>
        </w:trPr>
        <w:tc>
          <w:tcPr>
            <w:tcW w:w="4876" w:type="dxa"/>
          </w:tcPr>
          <w:p w14:paraId="29BBD6A9" w14:textId="77777777" w:rsidR="004A6753" w:rsidRPr="00EE201B" w:rsidRDefault="004A6753" w:rsidP="0081007B">
            <w:pPr>
              <w:pStyle w:val="Normal6"/>
              <w:rPr>
                <w:lang w:val="en-GB"/>
              </w:rPr>
            </w:pPr>
          </w:p>
        </w:tc>
        <w:tc>
          <w:tcPr>
            <w:tcW w:w="4876" w:type="dxa"/>
          </w:tcPr>
          <w:p w14:paraId="2626E40B" w14:textId="77777777" w:rsidR="004A6753" w:rsidRPr="001F36C8" w:rsidRDefault="00EE201B" w:rsidP="0081007B">
            <w:pPr>
              <w:pStyle w:val="Normal6"/>
              <w:rPr>
                <w:szCs w:val="24"/>
                <w:lang w:val="en-GB"/>
              </w:rPr>
            </w:pPr>
            <w:r w:rsidRPr="006D22F9">
              <w:rPr>
                <w:b/>
                <w:i/>
                <w:lang w:val="en-GB"/>
              </w:rPr>
              <w:t>(fb) specific advice for farmers setting up for the first time;</w:t>
            </w:r>
          </w:p>
        </w:tc>
      </w:tr>
      <w:tr w:rsidR="004A6753" w:rsidRPr="001F36C8" w14:paraId="17EEBB43" w14:textId="77777777" w:rsidTr="0081007B">
        <w:trPr>
          <w:jc w:val="center"/>
        </w:trPr>
        <w:tc>
          <w:tcPr>
            <w:tcW w:w="4876" w:type="dxa"/>
          </w:tcPr>
          <w:p w14:paraId="596AD57A" w14:textId="77777777" w:rsidR="004A6753" w:rsidRPr="00EE201B" w:rsidRDefault="004A6753" w:rsidP="0081007B">
            <w:pPr>
              <w:pStyle w:val="Normal6"/>
              <w:rPr>
                <w:lang w:val="en-GB"/>
              </w:rPr>
            </w:pPr>
          </w:p>
        </w:tc>
        <w:tc>
          <w:tcPr>
            <w:tcW w:w="4876" w:type="dxa"/>
          </w:tcPr>
          <w:p w14:paraId="728CA04E" w14:textId="77777777" w:rsidR="004A6753" w:rsidRPr="001F36C8" w:rsidRDefault="00EE201B" w:rsidP="0081007B">
            <w:pPr>
              <w:pStyle w:val="Normal6"/>
              <w:rPr>
                <w:szCs w:val="24"/>
                <w:lang w:val="en-GB"/>
              </w:rPr>
            </w:pPr>
            <w:r w:rsidRPr="006D22F9">
              <w:rPr>
                <w:b/>
                <w:i/>
                <w:lang w:val="en-GB"/>
              </w:rPr>
              <w:t>(fc) safety standards and psycho-social care in farming communities;</w:t>
            </w:r>
          </w:p>
        </w:tc>
      </w:tr>
      <w:tr w:rsidR="004A6753" w:rsidRPr="001F36C8" w14:paraId="001E8E9B" w14:textId="77777777" w:rsidTr="0081007B">
        <w:trPr>
          <w:jc w:val="center"/>
        </w:trPr>
        <w:tc>
          <w:tcPr>
            <w:tcW w:w="4876" w:type="dxa"/>
          </w:tcPr>
          <w:p w14:paraId="3C92B49C" w14:textId="77777777" w:rsidR="004A6753" w:rsidRPr="00EE201B" w:rsidRDefault="004A6753" w:rsidP="0081007B">
            <w:pPr>
              <w:pStyle w:val="Normal6"/>
              <w:rPr>
                <w:lang w:val="en-GB"/>
              </w:rPr>
            </w:pPr>
          </w:p>
        </w:tc>
        <w:tc>
          <w:tcPr>
            <w:tcW w:w="4876" w:type="dxa"/>
          </w:tcPr>
          <w:p w14:paraId="63279225" w14:textId="77777777" w:rsidR="004A6753" w:rsidRPr="001F36C8" w:rsidRDefault="00EE201B" w:rsidP="0081007B">
            <w:pPr>
              <w:pStyle w:val="Normal6"/>
              <w:rPr>
                <w:szCs w:val="24"/>
                <w:lang w:val="en-GB"/>
              </w:rPr>
            </w:pPr>
            <w:r w:rsidRPr="006D22F9">
              <w:rPr>
                <w:b/>
                <w:i/>
                <w:lang w:val="en-GB"/>
              </w:rPr>
              <w:t>(</w:t>
            </w:r>
            <w:proofErr w:type="spellStart"/>
            <w:r w:rsidRPr="006D22F9">
              <w:rPr>
                <w:b/>
                <w:i/>
                <w:lang w:val="en-GB"/>
              </w:rPr>
              <w:t>fd</w:t>
            </w:r>
            <w:proofErr w:type="spellEnd"/>
            <w:r w:rsidRPr="006D22F9">
              <w:rPr>
                <w:b/>
                <w:i/>
                <w:lang w:val="en-GB"/>
              </w:rPr>
              <w:t>) the sustainable management of nutrients, including use of the Farm Sustainability Tool for Nutrients;</w:t>
            </w:r>
          </w:p>
        </w:tc>
      </w:tr>
      <w:tr w:rsidR="004A6753" w:rsidRPr="001F36C8" w14:paraId="18A8AB27" w14:textId="77777777" w:rsidTr="0081007B">
        <w:trPr>
          <w:jc w:val="center"/>
        </w:trPr>
        <w:tc>
          <w:tcPr>
            <w:tcW w:w="4876" w:type="dxa"/>
          </w:tcPr>
          <w:p w14:paraId="2F5178C5" w14:textId="77777777" w:rsidR="004A6753" w:rsidRPr="00EE201B" w:rsidRDefault="004A6753" w:rsidP="0081007B">
            <w:pPr>
              <w:pStyle w:val="Normal6"/>
              <w:rPr>
                <w:lang w:val="en-GB"/>
              </w:rPr>
            </w:pPr>
          </w:p>
        </w:tc>
        <w:tc>
          <w:tcPr>
            <w:tcW w:w="4876" w:type="dxa"/>
          </w:tcPr>
          <w:p w14:paraId="6392FAB4" w14:textId="77777777" w:rsidR="004A6753" w:rsidRPr="001F36C8" w:rsidRDefault="00EE201B" w:rsidP="0081007B">
            <w:pPr>
              <w:pStyle w:val="Normal6"/>
              <w:rPr>
                <w:szCs w:val="24"/>
                <w:lang w:val="en-GB"/>
              </w:rPr>
            </w:pPr>
            <w:r w:rsidRPr="006D22F9">
              <w:rPr>
                <w:b/>
                <w:i/>
                <w:lang w:val="en-GB"/>
              </w:rPr>
              <w:t>(</w:t>
            </w:r>
            <w:proofErr w:type="spellStart"/>
            <w:r w:rsidRPr="006D22F9">
              <w:rPr>
                <w:b/>
                <w:i/>
                <w:lang w:val="en-GB"/>
              </w:rPr>
              <w:t>fe</w:t>
            </w:r>
            <w:proofErr w:type="spellEnd"/>
            <w:r w:rsidRPr="006D22F9">
              <w:rPr>
                <w:b/>
                <w:i/>
                <w:lang w:val="en-GB"/>
              </w:rPr>
              <w:t xml:space="preserve">) improvement of </w:t>
            </w:r>
            <w:proofErr w:type="spellStart"/>
            <w:r w:rsidRPr="006D22F9">
              <w:rPr>
                <w:b/>
                <w:i/>
                <w:lang w:val="en-GB"/>
              </w:rPr>
              <w:t>agro</w:t>
            </w:r>
            <w:proofErr w:type="spellEnd"/>
            <w:r w:rsidRPr="006D22F9">
              <w:rPr>
                <w:b/>
                <w:i/>
                <w:lang w:val="en-GB"/>
              </w:rPr>
              <w:t xml:space="preserve"> ecological and agroforestry practices and techniques on both agricultural and forest lands;</w:t>
            </w:r>
          </w:p>
        </w:tc>
      </w:tr>
      <w:tr w:rsidR="004A6753" w:rsidRPr="001F36C8" w14:paraId="0ABC4DC6" w14:textId="77777777" w:rsidTr="0081007B">
        <w:trPr>
          <w:jc w:val="center"/>
        </w:trPr>
        <w:tc>
          <w:tcPr>
            <w:tcW w:w="4876" w:type="dxa"/>
          </w:tcPr>
          <w:p w14:paraId="19BAAFE4" w14:textId="77777777" w:rsidR="004A6753" w:rsidRPr="00EE201B" w:rsidRDefault="004A6753" w:rsidP="0081007B">
            <w:pPr>
              <w:pStyle w:val="Normal6"/>
              <w:rPr>
                <w:lang w:val="en-GB"/>
              </w:rPr>
            </w:pPr>
          </w:p>
        </w:tc>
        <w:tc>
          <w:tcPr>
            <w:tcW w:w="4876" w:type="dxa"/>
          </w:tcPr>
          <w:p w14:paraId="29FA8490" w14:textId="77777777" w:rsidR="004A6753" w:rsidRPr="001F36C8" w:rsidRDefault="00EE201B" w:rsidP="0081007B">
            <w:pPr>
              <w:pStyle w:val="Normal6"/>
              <w:rPr>
                <w:szCs w:val="24"/>
                <w:lang w:val="en-GB"/>
              </w:rPr>
            </w:pPr>
            <w:r w:rsidRPr="006D22F9">
              <w:rPr>
                <w:b/>
                <w:i/>
                <w:lang w:val="en-GB"/>
              </w:rPr>
              <w:t xml:space="preserve">(ff) concentration on producer </w:t>
            </w:r>
            <w:r w:rsidRPr="006D22F9">
              <w:rPr>
                <w:b/>
                <w:i/>
                <w:lang w:val="en-GB"/>
              </w:rPr>
              <w:lastRenderedPageBreak/>
              <w:t>organisations and other farmer groups;</w:t>
            </w:r>
          </w:p>
        </w:tc>
      </w:tr>
      <w:tr w:rsidR="004A6753" w:rsidRPr="001F36C8" w14:paraId="71996748" w14:textId="77777777" w:rsidTr="0081007B">
        <w:trPr>
          <w:jc w:val="center"/>
        </w:trPr>
        <w:tc>
          <w:tcPr>
            <w:tcW w:w="4876" w:type="dxa"/>
          </w:tcPr>
          <w:p w14:paraId="75006703" w14:textId="77777777" w:rsidR="004A6753" w:rsidRPr="00EE201B" w:rsidRDefault="004A6753" w:rsidP="0081007B">
            <w:pPr>
              <w:pStyle w:val="Normal6"/>
              <w:rPr>
                <w:lang w:val="en-GB"/>
              </w:rPr>
            </w:pPr>
          </w:p>
        </w:tc>
        <w:tc>
          <w:tcPr>
            <w:tcW w:w="4876" w:type="dxa"/>
          </w:tcPr>
          <w:p w14:paraId="2B7CE63C" w14:textId="77777777" w:rsidR="004A6753" w:rsidRPr="001F36C8" w:rsidRDefault="00EE201B" w:rsidP="0081007B">
            <w:pPr>
              <w:pStyle w:val="Normal6"/>
              <w:rPr>
                <w:szCs w:val="24"/>
                <w:lang w:val="en-GB"/>
              </w:rPr>
            </w:pPr>
            <w:r w:rsidRPr="006D22F9">
              <w:rPr>
                <w:b/>
                <w:i/>
                <w:lang w:val="en-GB"/>
              </w:rPr>
              <w:t>(</w:t>
            </w:r>
            <w:proofErr w:type="spellStart"/>
            <w:r w:rsidRPr="006D22F9">
              <w:rPr>
                <w:b/>
                <w:i/>
                <w:lang w:val="en-GB"/>
              </w:rPr>
              <w:t>fg</w:t>
            </w:r>
            <w:proofErr w:type="spellEnd"/>
            <w:r w:rsidRPr="006D22F9">
              <w:rPr>
                <w:b/>
                <w:i/>
                <w:lang w:val="en-GB"/>
              </w:rPr>
              <w:t>) assistance to farmers who wish to change production, in particular due to changes in consumer demand, with advice concerning the new skills and equipment required;</w:t>
            </w:r>
          </w:p>
        </w:tc>
      </w:tr>
      <w:tr w:rsidR="004A6753" w:rsidRPr="001F36C8" w14:paraId="177B743F" w14:textId="77777777" w:rsidTr="0081007B">
        <w:trPr>
          <w:jc w:val="center"/>
        </w:trPr>
        <w:tc>
          <w:tcPr>
            <w:tcW w:w="4876" w:type="dxa"/>
          </w:tcPr>
          <w:p w14:paraId="251C2D0B" w14:textId="77777777" w:rsidR="004A6753" w:rsidRPr="00EE201B" w:rsidRDefault="004A6753" w:rsidP="0081007B">
            <w:pPr>
              <w:pStyle w:val="Normal6"/>
              <w:rPr>
                <w:lang w:val="en-GB"/>
              </w:rPr>
            </w:pPr>
          </w:p>
        </w:tc>
        <w:tc>
          <w:tcPr>
            <w:tcW w:w="4876" w:type="dxa"/>
          </w:tcPr>
          <w:p w14:paraId="44F8CA73" w14:textId="77777777" w:rsidR="004A6753" w:rsidRPr="001F36C8" w:rsidRDefault="00EE201B" w:rsidP="0081007B">
            <w:pPr>
              <w:pStyle w:val="Normal6"/>
              <w:rPr>
                <w:szCs w:val="24"/>
                <w:lang w:val="en-GB"/>
              </w:rPr>
            </w:pPr>
            <w:r w:rsidRPr="006D22F9">
              <w:rPr>
                <w:b/>
                <w:i/>
                <w:lang w:val="en-GB"/>
              </w:rPr>
              <w:t>(</w:t>
            </w:r>
            <w:proofErr w:type="spellStart"/>
            <w:r w:rsidRPr="006D22F9">
              <w:rPr>
                <w:b/>
                <w:i/>
                <w:lang w:val="en-GB"/>
              </w:rPr>
              <w:t>fh</w:t>
            </w:r>
            <w:proofErr w:type="spellEnd"/>
            <w:r w:rsidRPr="006D22F9">
              <w:rPr>
                <w:b/>
                <w:i/>
                <w:lang w:val="en-GB"/>
              </w:rPr>
              <w:t>) land mobility and succession planning services;</w:t>
            </w:r>
          </w:p>
        </w:tc>
      </w:tr>
      <w:tr w:rsidR="004A6753" w:rsidRPr="001F36C8" w14:paraId="2BD9E890" w14:textId="77777777" w:rsidTr="0081007B">
        <w:trPr>
          <w:jc w:val="center"/>
        </w:trPr>
        <w:tc>
          <w:tcPr>
            <w:tcW w:w="4876" w:type="dxa"/>
          </w:tcPr>
          <w:p w14:paraId="76275FE3" w14:textId="77777777" w:rsidR="004A6753" w:rsidRPr="00EE201B" w:rsidRDefault="004A6753" w:rsidP="0081007B">
            <w:pPr>
              <w:pStyle w:val="Normal6"/>
              <w:rPr>
                <w:lang w:val="en-GB"/>
              </w:rPr>
            </w:pPr>
          </w:p>
        </w:tc>
        <w:tc>
          <w:tcPr>
            <w:tcW w:w="4876" w:type="dxa"/>
          </w:tcPr>
          <w:p w14:paraId="5F9680D9" w14:textId="77777777" w:rsidR="004A6753" w:rsidRPr="001F36C8" w:rsidRDefault="00EE201B" w:rsidP="0081007B">
            <w:pPr>
              <w:pStyle w:val="Normal6"/>
              <w:rPr>
                <w:szCs w:val="24"/>
                <w:lang w:val="en-GB"/>
              </w:rPr>
            </w:pPr>
            <w:r w:rsidRPr="006D22F9">
              <w:rPr>
                <w:b/>
                <w:i/>
                <w:lang w:val="en-GB"/>
              </w:rPr>
              <w:t>(fi) all agricultural practices which make it possible to reduce the use of fertilisers and plant protection products by promoting natural methods of soil fertility improvement and pest control; and</w:t>
            </w:r>
          </w:p>
        </w:tc>
      </w:tr>
      <w:tr w:rsidR="004A6753" w:rsidRPr="001F36C8" w14:paraId="32824FBA" w14:textId="77777777" w:rsidTr="0081007B">
        <w:trPr>
          <w:jc w:val="center"/>
        </w:trPr>
        <w:tc>
          <w:tcPr>
            <w:tcW w:w="4876" w:type="dxa"/>
          </w:tcPr>
          <w:p w14:paraId="61BBAD15" w14:textId="77777777" w:rsidR="004A6753" w:rsidRPr="00EE201B" w:rsidRDefault="004A6753" w:rsidP="0081007B">
            <w:pPr>
              <w:pStyle w:val="Normal6"/>
              <w:rPr>
                <w:lang w:val="en-GB"/>
              </w:rPr>
            </w:pPr>
          </w:p>
        </w:tc>
        <w:tc>
          <w:tcPr>
            <w:tcW w:w="4876" w:type="dxa"/>
          </w:tcPr>
          <w:p w14:paraId="77EBF77C" w14:textId="77777777" w:rsidR="004A6753" w:rsidRPr="001F36C8" w:rsidRDefault="00EE201B" w:rsidP="0081007B">
            <w:pPr>
              <w:pStyle w:val="Normal6"/>
              <w:rPr>
                <w:szCs w:val="24"/>
                <w:lang w:val="en-GB"/>
              </w:rPr>
            </w:pPr>
            <w:r w:rsidRPr="006D22F9">
              <w:rPr>
                <w:b/>
                <w:i/>
                <w:lang w:val="en-GB"/>
              </w:rPr>
              <w:t>(fj) improving resilience and adapting to climate change.</w:t>
            </w:r>
          </w:p>
        </w:tc>
      </w:tr>
      <w:tr w:rsidR="004A6753" w:rsidRPr="001F36C8" w14:paraId="2F149B6F" w14:textId="77777777" w:rsidTr="0081007B">
        <w:trPr>
          <w:jc w:val="center"/>
        </w:trPr>
        <w:tc>
          <w:tcPr>
            <w:tcW w:w="4876" w:type="dxa"/>
          </w:tcPr>
          <w:p w14:paraId="4C3959D4" w14:textId="77777777" w:rsidR="004A6753" w:rsidRPr="00EE201B" w:rsidRDefault="004A6753" w:rsidP="0081007B">
            <w:pPr>
              <w:pStyle w:val="Normal6"/>
              <w:rPr>
                <w:lang w:val="en-GB"/>
              </w:rPr>
            </w:pPr>
          </w:p>
        </w:tc>
        <w:tc>
          <w:tcPr>
            <w:tcW w:w="4876" w:type="dxa"/>
          </w:tcPr>
          <w:p w14:paraId="4F37E9E3" w14:textId="77777777" w:rsidR="004A6753" w:rsidRPr="001F36C8" w:rsidRDefault="00EE201B" w:rsidP="0081007B">
            <w:pPr>
              <w:pStyle w:val="Normal6"/>
              <w:rPr>
                <w:szCs w:val="24"/>
                <w:lang w:val="en-GB"/>
              </w:rPr>
            </w:pPr>
            <w:r w:rsidRPr="00D27541">
              <w:rPr>
                <w:b/>
                <w:i/>
              </w:rPr>
              <w:t>(</w:t>
            </w:r>
            <w:proofErr w:type="spellStart"/>
            <w:proofErr w:type="gramStart"/>
            <w:r w:rsidRPr="00D27541">
              <w:rPr>
                <w:b/>
                <w:i/>
              </w:rPr>
              <w:t>fk</w:t>
            </w:r>
            <w:proofErr w:type="spellEnd"/>
            <w:proofErr w:type="gramEnd"/>
            <w:r w:rsidRPr="00D27541">
              <w:rPr>
                <w:b/>
                <w:i/>
              </w:rPr>
              <w:t xml:space="preserve">) </w:t>
            </w:r>
            <w:proofErr w:type="spellStart"/>
            <w:r w:rsidRPr="00D27541">
              <w:rPr>
                <w:b/>
                <w:i/>
              </w:rPr>
              <w:t>improving</w:t>
            </w:r>
            <w:proofErr w:type="spellEnd"/>
            <w:r w:rsidRPr="00D27541">
              <w:rPr>
                <w:b/>
                <w:i/>
              </w:rPr>
              <w:t xml:space="preserve"> animal </w:t>
            </w:r>
            <w:proofErr w:type="spellStart"/>
            <w:r w:rsidRPr="00D27541">
              <w:rPr>
                <w:b/>
                <w:i/>
              </w:rPr>
              <w:t>welfare</w:t>
            </w:r>
            <w:proofErr w:type="spellEnd"/>
          </w:p>
        </w:tc>
      </w:tr>
      <w:tr w:rsidR="004A6753" w:rsidRPr="001F36C8" w14:paraId="4F6F9D6A" w14:textId="77777777" w:rsidTr="0081007B">
        <w:trPr>
          <w:jc w:val="center"/>
        </w:trPr>
        <w:tc>
          <w:tcPr>
            <w:tcW w:w="4876" w:type="dxa"/>
          </w:tcPr>
          <w:p w14:paraId="449BAF5D" w14:textId="77777777" w:rsidR="004A6753" w:rsidRPr="00EE201B" w:rsidRDefault="004A6753" w:rsidP="0081007B">
            <w:pPr>
              <w:pStyle w:val="Normal6"/>
              <w:rPr>
                <w:lang w:val="en-GB"/>
              </w:rPr>
            </w:pPr>
          </w:p>
        </w:tc>
        <w:tc>
          <w:tcPr>
            <w:tcW w:w="4876" w:type="dxa"/>
          </w:tcPr>
          <w:p w14:paraId="23A36BE9" w14:textId="77777777" w:rsidR="004A6753" w:rsidRPr="001F36C8" w:rsidRDefault="00EE201B" w:rsidP="0081007B">
            <w:pPr>
              <w:pStyle w:val="Normal6"/>
              <w:rPr>
                <w:szCs w:val="24"/>
                <w:lang w:val="en-GB"/>
              </w:rPr>
            </w:pPr>
            <w:r w:rsidRPr="006D22F9">
              <w:rPr>
                <w:b/>
                <w:i/>
                <w:lang w:val="en-GB"/>
              </w:rPr>
              <w:t xml:space="preserve">4 </w:t>
            </w:r>
            <w:proofErr w:type="spellStart"/>
            <w:r w:rsidRPr="006D22F9">
              <w:rPr>
                <w:b/>
                <w:i/>
                <w:lang w:val="en-GB"/>
              </w:rPr>
              <w:t>a.Without</w:t>
            </w:r>
            <w:proofErr w:type="spellEnd"/>
            <w:r w:rsidRPr="006D22F9">
              <w:rPr>
                <w:b/>
                <w:i/>
                <w:lang w:val="en-GB"/>
              </w:rPr>
              <w:t xml:space="preserve"> prejudice to national law and other relevant provisions of Union law, persons and entities in charge of advisory services shall not disclose to any person other than the advised farmer or beneficiary any personal or business information or data relating to the farmer or beneficiary in question, which has been acquired in the course of their advisory assignment, with the exception of infringements subject to mandatory reporting to public authorities under national or Union law.</w:t>
            </w:r>
          </w:p>
        </w:tc>
      </w:tr>
      <w:tr w:rsidR="004A6753" w:rsidRPr="001F36C8" w14:paraId="1F22EC9A" w14:textId="77777777" w:rsidTr="0081007B">
        <w:trPr>
          <w:jc w:val="center"/>
        </w:trPr>
        <w:tc>
          <w:tcPr>
            <w:tcW w:w="4876" w:type="dxa"/>
          </w:tcPr>
          <w:p w14:paraId="07F6C833" w14:textId="77777777" w:rsidR="004A6753" w:rsidRPr="00EE201B" w:rsidRDefault="004A6753" w:rsidP="0081007B">
            <w:pPr>
              <w:pStyle w:val="Normal6"/>
              <w:rPr>
                <w:lang w:val="en-GB"/>
              </w:rPr>
            </w:pPr>
          </w:p>
        </w:tc>
        <w:tc>
          <w:tcPr>
            <w:tcW w:w="4876" w:type="dxa"/>
          </w:tcPr>
          <w:p w14:paraId="216AF417" w14:textId="77777777" w:rsidR="004A6753" w:rsidRPr="001F36C8" w:rsidRDefault="00EE201B" w:rsidP="0081007B">
            <w:pPr>
              <w:pStyle w:val="Normal6"/>
              <w:rPr>
                <w:szCs w:val="24"/>
                <w:lang w:val="en-GB"/>
              </w:rPr>
            </w:pPr>
            <w:r w:rsidRPr="006D22F9">
              <w:rPr>
                <w:b/>
                <w:i/>
                <w:lang w:val="en-GB"/>
              </w:rPr>
              <w:t xml:space="preserve">4 </w:t>
            </w:r>
            <w:proofErr w:type="spellStart"/>
            <w:proofErr w:type="gramStart"/>
            <w:r w:rsidRPr="006D22F9">
              <w:rPr>
                <w:b/>
                <w:i/>
                <w:lang w:val="en-GB"/>
              </w:rPr>
              <w:t>b.Member</w:t>
            </w:r>
            <w:proofErr w:type="spellEnd"/>
            <w:proofErr w:type="gramEnd"/>
            <w:r w:rsidRPr="006D22F9">
              <w:rPr>
                <w:b/>
                <w:i/>
                <w:lang w:val="en-GB"/>
              </w:rPr>
              <w:t xml:space="preserve"> States shall also ensure by means of appropriate public procedure that advisors working within the farm advisory system are suitably qualified and regularly trained.</w:t>
            </w:r>
          </w:p>
        </w:tc>
      </w:tr>
      <w:tr w:rsidR="004A6753" w:rsidRPr="001F36C8" w14:paraId="7069F2D7" w14:textId="77777777" w:rsidTr="0081007B">
        <w:trPr>
          <w:jc w:val="center"/>
        </w:trPr>
        <w:tc>
          <w:tcPr>
            <w:tcW w:w="4876" w:type="dxa"/>
          </w:tcPr>
          <w:p w14:paraId="19DB860C" w14:textId="77777777" w:rsidR="004A6753" w:rsidRPr="00EE201B" w:rsidRDefault="00EE201B" w:rsidP="0081007B">
            <w:pPr>
              <w:pStyle w:val="Normal6"/>
              <w:rPr>
                <w:lang w:val="en-GB"/>
              </w:rPr>
            </w:pPr>
            <w:r w:rsidRPr="00EE201B">
              <w:rPr>
                <w:lang w:val="en-GB"/>
              </w:rPr>
              <w:t>__________________</w:t>
            </w:r>
          </w:p>
        </w:tc>
        <w:tc>
          <w:tcPr>
            <w:tcW w:w="4876" w:type="dxa"/>
          </w:tcPr>
          <w:p w14:paraId="15B23362" w14:textId="77777777" w:rsidR="004A6753" w:rsidRPr="001F36C8" w:rsidRDefault="00EE201B" w:rsidP="0081007B">
            <w:pPr>
              <w:pStyle w:val="Normal6"/>
              <w:rPr>
                <w:szCs w:val="24"/>
                <w:lang w:val="en-GB"/>
              </w:rPr>
            </w:pPr>
            <w:r w:rsidRPr="00EE201B">
              <w:rPr>
                <w:lang w:val="en-GB"/>
              </w:rPr>
              <w:t>__________________</w:t>
            </w:r>
          </w:p>
        </w:tc>
      </w:tr>
      <w:tr w:rsidR="004A6753" w:rsidRPr="001F36C8" w14:paraId="277DF596" w14:textId="77777777" w:rsidTr="0081007B">
        <w:trPr>
          <w:jc w:val="center"/>
        </w:trPr>
        <w:tc>
          <w:tcPr>
            <w:tcW w:w="4876" w:type="dxa"/>
          </w:tcPr>
          <w:p w14:paraId="2B9623CF" w14:textId="77777777" w:rsidR="004A6753" w:rsidRPr="00EE201B" w:rsidRDefault="00EE201B" w:rsidP="0081007B">
            <w:pPr>
              <w:pStyle w:val="Normal6"/>
              <w:rPr>
                <w:lang w:val="en-GB"/>
              </w:rPr>
            </w:pPr>
            <w:r w:rsidRPr="00EE201B">
              <w:rPr>
                <w:vertAlign w:val="superscript"/>
                <w:lang w:val="en-GB"/>
              </w:rPr>
              <w:t>30.</w:t>
            </w:r>
            <w:r w:rsidRPr="00EE201B">
              <w:rPr>
                <w:lang w:val="en-GB"/>
              </w:rPr>
              <w:t xml:space="preserve"> Regulation (EC) No 1107/2009 of the European Parliament and of the Council of 21 October 2009 concerning the placing of plant protection products on the market and repealing Council Directives 79/117/EEC and 91/414/EEC (OJ L 309, 24.11.2009, p. 1).</w:t>
            </w:r>
          </w:p>
        </w:tc>
        <w:tc>
          <w:tcPr>
            <w:tcW w:w="4876" w:type="dxa"/>
          </w:tcPr>
          <w:p w14:paraId="39E87FDC" w14:textId="77777777" w:rsidR="004A6753" w:rsidRPr="001F36C8" w:rsidRDefault="00EE201B" w:rsidP="0081007B">
            <w:pPr>
              <w:pStyle w:val="Normal6"/>
              <w:rPr>
                <w:szCs w:val="24"/>
                <w:lang w:val="en-GB"/>
              </w:rPr>
            </w:pPr>
            <w:r w:rsidRPr="00EE201B">
              <w:rPr>
                <w:vertAlign w:val="superscript"/>
                <w:lang w:val="en-GB"/>
              </w:rPr>
              <w:t>30.</w:t>
            </w:r>
            <w:r w:rsidRPr="00EE201B">
              <w:rPr>
                <w:lang w:val="en-GB"/>
              </w:rPr>
              <w:t xml:space="preserve"> Regulation (EC) No 1107/2009 of the European Parliament and of the Council of 21 October 2009 concerning the placing of plant protection products on the market and repealing Council Directives 79/117/EEC and 91/414/EEC (OJ L 309, 24.11.2009, p. 1).</w:t>
            </w:r>
          </w:p>
        </w:tc>
      </w:tr>
      <w:tr w:rsidR="004A6753" w:rsidRPr="001F36C8" w14:paraId="07DBCDA5" w14:textId="77777777" w:rsidTr="0081007B">
        <w:trPr>
          <w:jc w:val="center"/>
        </w:trPr>
        <w:tc>
          <w:tcPr>
            <w:tcW w:w="4876" w:type="dxa"/>
          </w:tcPr>
          <w:p w14:paraId="26434D17" w14:textId="77777777" w:rsidR="004A6753" w:rsidRPr="00EE201B" w:rsidRDefault="00EE201B" w:rsidP="0081007B">
            <w:pPr>
              <w:pStyle w:val="Normal6"/>
              <w:rPr>
                <w:lang w:val="en-GB"/>
              </w:rPr>
            </w:pPr>
            <w:r w:rsidRPr="00EE201B">
              <w:rPr>
                <w:vertAlign w:val="superscript"/>
                <w:lang w:val="en-GB"/>
              </w:rPr>
              <w:t>31.</w:t>
            </w:r>
            <w:r w:rsidRPr="00EE201B">
              <w:rPr>
                <w:lang w:val="en-GB"/>
              </w:rPr>
              <w:t xml:space="preserve"> "A European One Health Action Plan against Antimicrobial Resistance (AMR)" (</w:t>
            </w:r>
            <w:proofErr w:type="gramStart"/>
            <w:r w:rsidRPr="00EE201B">
              <w:rPr>
                <w:lang w:val="en-GB"/>
              </w:rPr>
              <w:t>COM(</w:t>
            </w:r>
            <w:proofErr w:type="gramEnd"/>
            <w:r w:rsidRPr="00EE201B">
              <w:rPr>
                <w:lang w:val="en-GB"/>
              </w:rPr>
              <w:t>2017) 339 final).</w:t>
            </w:r>
          </w:p>
        </w:tc>
        <w:tc>
          <w:tcPr>
            <w:tcW w:w="4876" w:type="dxa"/>
          </w:tcPr>
          <w:p w14:paraId="7EF13DC6" w14:textId="77777777" w:rsidR="004A6753" w:rsidRPr="001F36C8" w:rsidRDefault="00EE201B" w:rsidP="0081007B">
            <w:pPr>
              <w:pStyle w:val="Normal6"/>
              <w:rPr>
                <w:szCs w:val="24"/>
                <w:lang w:val="en-GB"/>
              </w:rPr>
            </w:pPr>
            <w:r w:rsidRPr="00EE201B">
              <w:rPr>
                <w:vertAlign w:val="superscript"/>
                <w:lang w:val="en-GB"/>
              </w:rPr>
              <w:t>31.</w:t>
            </w:r>
            <w:r w:rsidRPr="00EE201B">
              <w:rPr>
                <w:lang w:val="en-GB"/>
              </w:rPr>
              <w:t xml:space="preserve"> "A European One Health Action Plan against Antimicrobial Resistance (AMR)" (</w:t>
            </w:r>
            <w:proofErr w:type="gramStart"/>
            <w:r w:rsidRPr="00EE201B">
              <w:rPr>
                <w:lang w:val="en-GB"/>
              </w:rPr>
              <w:t>COM(</w:t>
            </w:r>
            <w:proofErr w:type="gramEnd"/>
            <w:r w:rsidRPr="00EE201B">
              <w:rPr>
                <w:lang w:val="en-GB"/>
              </w:rPr>
              <w:t>2017) 339 final).</w:t>
            </w:r>
          </w:p>
        </w:tc>
      </w:tr>
    </w:tbl>
    <w:p w14:paraId="166CD809"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68A8815F" w14:textId="77777777" w:rsidR="004A6753" w:rsidRPr="001F36C8" w:rsidRDefault="004A6753" w:rsidP="004A6753">
      <w:r w:rsidRPr="001F36C8">
        <w:rPr>
          <w:rStyle w:val="HideTWBExt"/>
        </w:rPr>
        <w:t>&lt;/Amend&gt;</w:t>
      </w:r>
    </w:p>
    <w:p w14:paraId="23780AE1" w14:textId="77777777" w:rsidR="004A6753" w:rsidRPr="001F36C8" w:rsidRDefault="004A6753" w:rsidP="004A6753">
      <w:pPr>
        <w:pStyle w:val="AMNumberTabs"/>
        <w:keepNext/>
        <w:rPr>
          <w:lang w:val="en-GB"/>
        </w:rPr>
      </w:pPr>
      <w:r>
        <w:rPr>
          <w:rStyle w:val="HideTWBExt"/>
          <w:b w:val="0"/>
          <w:lang w:val="en-GB"/>
        </w:rPr>
        <w:lastRenderedPageBreak/>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6D22F9">
        <w:rPr>
          <w:color w:val="000000"/>
          <w:lang w:val="en-GB"/>
        </w:rPr>
        <w:t>4</w:t>
      </w:r>
      <w:r w:rsidRPr="001F36C8">
        <w:rPr>
          <w:rStyle w:val="HideTWBExt"/>
          <w:b w:val="0"/>
          <w:lang w:val="en-GB"/>
        </w:rPr>
        <w:t>&lt;/NumAm&gt;</w:t>
      </w:r>
    </w:p>
    <w:p w14:paraId="4F462CC2"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522FF235" w14:textId="77777777" w:rsidR="004A6753" w:rsidRPr="00ED66A2" w:rsidRDefault="004A6753" w:rsidP="004A6753">
      <w:r w:rsidRPr="007E6396">
        <w:rPr>
          <w:rStyle w:val="HideTWBExt"/>
        </w:rPr>
        <w:t>&lt;/RepeatBlock-By&gt;</w:t>
      </w:r>
    </w:p>
    <w:p w14:paraId="146BAC08"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01B35B0B"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28</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35789C8A" w14:textId="77777777" w:rsidTr="0081007B">
        <w:trPr>
          <w:jc w:val="center"/>
        </w:trPr>
        <w:tc>
          <w:tcPr>
            <w:tcW w:w="9752" w:type="dxa"/>
            <w:gridSpan w:val="2"/>
          </w:tcPr>
          <w:p w14:paraId="58B867F2" w14:textId="77777777" w:rsidR="004A6753" w:rsidRPr="001F36C8" w:rsidRDefault="004A6753" w:rsidP="0081007B">
            <w:pPr>
              <w:keepNext/>
            </w:pPr>
          </w:p>
        </w:tc>
      </w:tr>
      <w:tr w:rsidR="004A6753" w:rsidRPr="001F36C8" w14:paraId="74956155" w14:textId="77777777" w:rsidTr="0081007B">
        <w:trPr>
          <w:jc w:val="center"/>
        </w:trPr>
        <w:tc>
          <w:tcPr>
            <w:tcW w:w="4876" w:type="dxa"/>
          </w:tcPr>
          <w:p w14:paraId="6F1A1AA5"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577D14D7" w14:textId="77777777" w:rsidR="004A6753" w:rsidRPr="001F36C8" w:rsidRDefault="004A6753" w:rsidP="0081007B">
            <w:pPr>
              <w:pStyle w:val="ColumnHeading"/>
              <w:keepNext/>
              <w:rPr>
                <w:lang w:val="en-GB"/>
              </w:rPr>
            </w:pPr>
            <w:r w:rsidRPr="001F36C8">
              <w:rPr>
                <w:lang w:val="en-GB"/>
              </w:rPr>
              <w:t>Amendment</w:t>
            </w:r>
          </w:p>
        </w:tc>
      </w:tr>
      <w:tr w:rsidR="004A6753" w:rsidRPr="001F36C8" w14:paraId="6C0857E3" w14:textId="77777777" w:rsidTr="0081007B">
        <w:trPr>
          <w:jc w:val="center"/>
        </w:trPr>
        <w:tc>
          <w:tcPr>
            <w:tcW w:w="4876" w:type="dxa"/>
          </w:tcPr>
          <w:p w14:paraId="21C3E2EE" w14:textId="77777777" w:rsidR="004A6753" w:rsidRPr="00EE201B" w:rsidRDefault="00EE201B" w:rsidP="0081007B">
            <w:pPr>
              <w:pStyle w:val="Normal6"/>
              <w:rPr>
                <w:lang w:val="en-GB"/>
              </w:rPr>
            </w:pPr>
            <w:r w:rsidRPr="00EE201B">
              <w:rPr>
                <w:lang w:val="en-GB"/>
              </w:rPr>
              <w:t>28</w:t>
            </w:r>
            <w:r w:rsidRPr="00EE201B">
              <w:rPr>
                <w:lang w:val="en-GB"/>
              </w:rPr>
              <w:tab/>
              <w:t xml:space="preserve">Schemes for the climate </w:t>
            </w:r>
            <w:r w:rsidRPr="006D22F9">
              <w:rPr>
                <w:b/>
                <w:i/>
                <w:lang w:val="en-GB"/>
              </w:rPr>
              <w:t>and the</w:t>
            </w:r>
            <w:r w:rsidRPr="00EE201B">
              <w:rPr>
                <w:lang w:val="en-GB"/>
              </w:rPr>
              <w:t xml:space="preserve"> environment</w:t>
            </w:r>
          </w:p>
        </w:tc>
        <w:tc>
          <w:tcPr>
            <w:tcW w:w="4876" w:type="dxa"/>
          </w:tcPr>
          <w:p w14:paraId="72E59169" w14:textId="77777777" w:rsidR="004A6753" w:rsidRPr="001F36C8" w:rsidRDefault="00EE201B" w:rsidP="0081007B">
            <w:pPr>
              <w:pStyle w:val="Normal6"/>
              <w:rPr>
                <w:lang w:val="en-GB"/>
              </w:rPr>
            </w:pPr>
            <w:r w:rsidRPr="00EE201B">
              <w:rPr>
                <w:lang w:val="en-GB"/>
              </w:rPr>
              <w:t>28</w:t>
            </w:r>
            <w:r w:rsidRPr="00EE201B">
              <w:rPr>
                <w:lang w:val="en-GB"/>
              </w:rPr>
              <w:tab/>
              <w:t>Schemes for the climate</w:t>
            </w:r>
            <w:r w:rsidRPr="006D22F9">
              <w:rPr>
                <w:b/>
                <w:i/>
                <w:lang w:val="en-GB"/>
              </w:rPr>
              <w:t>,</w:t>
            </w:r>
            <w:r w:rsidRPr="00EE201B">
              <w:rPr>
                <w:lang w:val="en-GB"/>
              </w:rPr>
              <w:t xml:space="preserve"> environment </w:t>
            </w:r>
            <w:r w:rsidRPr="006D22F9">
              <w:rPr>
                <w:b/>
                <w:i/>
                <w:lang w:val="en-GB"/>
              </w:rPr>
              <w:t xml:space="preserve">and animal </w:t>
            </w:r>
            <w:commentRangeStart w:id="5"/>
            <w:r w:rsidRPr="006D22F9">
              <w:rPr>
                <w:b/>
                <w:i/>
                <w:lang w:val="en-GB"/>
              </w:rPr>
              <w:t>welfare</w:t>
            </w:r>
            <w:commentRangeEnd w:id="5"/>
            <w:r>
              <w:rPr>
                <w:rStyle w:val="CommentReference"/>
              </w:rPr>
              <w:commentReference w:id="5"/>
            </w:r>
          </w:p>
        </w:tc>
      </w:tr>
      <w:tr w:rsidR="004A6753" w:rsidRPr="001F36C8" w14:paraId="611A86BF" w14:textId="77777777" w:rsidTr="0081007B">
        <w:trPr>
          <w:jc w:val="center"/>
        </w:trPr>
        <w:tc>
          <w:tcPr>
            <w:tcW w:w="4876" w:type="dxa"/>
          </w:tcPr>
          <w:p w14:paraId="17208B4A" w14:textId="77777777" w:rsidR="004A6753" w:rsidRPr="00EE201B" w:rsidRDefault="00EE201B" w:rsidP="0081007B">
            <w:pPr>
              <w:pStyle w:val="Normal6"/>
              <w:rPr>
                <w:lang w:val="en-GB"/>
              </w:rPr>
            </w:pPr>
            <w:r w:rsidRPr="00EE201B">
              <w:rPr>
                <w:lang w:val="en-GB"/>
              </w:rPr>
              <w:t>1.</w:t>
            </w:r>
            <w:r w:rsidRPr="00EE201B">
              <w:rPr>
                <w:lang w:val="en-GB"/>
              </w:rPr>
              <w:tab/>
              <w:t xml:space="preserve">Member States shall provide support for voluntary schemes for the climate </w:t>
            </w:r>
            <w:r w:rsidRPr="006D22F9">
              <w:rPr>
                <w:b/>
                <w:i/>
                <w:lang w:val="en-GB"/>
              </w:rPr>
              <w:t>and the</w:t>
            </w:r>
            <w:r w:rsidRPr="00EE201B">
              <w:rPr>
                <w:lang w:val="en-GB"/>
              </w:rPr>
              <w:t xml:space="preserve"> environment ('eco-schemes') under the conditions set out in this Article and as further specified in their CAP Strategic Plans.</w:t>
            </w:r>
          </w:p>
        </w:tc>
        <w:tc>
          <w:tcPr>
            <w:tcW w:w="4876" w:type="dxa"/>
          </w:tcPr>
          <w:p w14:paraId="568C580B" w14:textId="77777777" w:rsidR="004A6753" w:rsidRPr="001F36C8" w:rsidRDefault="00EE201B" w:rsidP="0081007B">
            <w:pPr>
              <w:pStyle w:val="Normal6"/>
              <w:rPr>
                <w:szCs w:val="24"/>
                <w:lang w:val="en-GB"/>
              </w:rPr>
            </w:pPr>
            <w:r w:rsidRPr="00EE201B">
              <w:rPr>
                <w:lang w:val="en-GB"/>
              </w:rPr>
              <w:t>1.</w:t>
            </w:r>
            <w:r w:rsidRPr="00EE201B">
              <w:rPr>
                <w:lang w:val="en-GB"/>
              </w:rPr>
              <w:tab/>
              <w:t xml:space="preserve">Member States shall </w:t>
            </w:r>
            <w:r w:rsidRPr="006D22F9">
              <w:rPr>
                <w:b/>
                <w:i/>
                <w:lang w:val="en-GB"/>
              </w:rPr>
              <w:t>establish and</w:t>
            </w:r>
            <w:r w:rsidRPr="00EE201B">
              <w:rPr>
                <w:lang w:val="en-GB"/>
              </w:rPr>
              <w:t xml:space="preserve"> provide support for voluntary schemes for the climate environment </w:t>
            </w:r>
            <w:r w:rsidRPr="006D22F9">
              <w:rPr>
                <w:b/>
                <w:i/>
                <w:lang w:val="en-GB"/>
              </w:rPr>
              <w:t>and animal welfare</w:t>
            </w:r>
            <w:r w:rsidRPr="00EE201B">
              <w:rPr>
                <w:lang w:val="en-GB"/>
              </w:rPr>
              <w:t xml:space="preserve"> ('eco-schemes') under the conditions set out in this Article and as further specified in their CAP Strategic Plans. </w:t>
            </w:r>
            <w:r w:rsidRPr="006D22F9">
              <w:rPr>
                <w:b/>
                <w:i/>
                <w:lang w:val="en-GB"/>
              </w:rPr>
              <w:t>Eco-schemes in one area of action shall be consistent with the objectives in another area of action.</w:t>
            </w:r>
          </w:p>
        </w:tc>
      </w:tr>
      <w:tr w:rsidR="004A6753" w:rsidRPr="001F36C8" w14:paraId="47051B21" w14:textId="77777777" w:rsidTr="0081007B">
        <w:trPr>
          <w:jc w:val="center"/>
        </w:trPr>
        <w:tc>
          <w:tcPr>
            <w:tcW w:w="4876" w:type="dxa"/>
          </w:tcPr>
          <w:p w14:paraId="51B024AD" w14:textId="77777777" w:rsidR="004A6753" w:rsidRPr="00EE201B" w:rsidRDefault="004A6753" w:rsidP="0081007B">
            <w:pPr>
              <w:pStyle w:val="Normal6"/>
              <w:rPr>
                <w:lang w:val="en-GB"/>
              </w:rPr>
            </w:pPr>
          </w:p>
        </w:tc>
        <w:tc>
          <w:tcPr>
            <w:tcW w:w="4876" w:type="dxa"/>
          </w:tcPr>
          <w:p w14:paraId="6D7BF223" w14:textId="77777777" w:rsidR="004A6753" w:rsidRPr="001F36C8" w:rsidRDefault="00EE201B" w:rsidP="0081007B">
            <w:pPr>
              <w:pStyle w:val="Normal6"/>
              <w:rPr>
                <w:lang w:val="en-GB"/>
              </w:rPr>
            </w:pPr>
            <w:r w:rsidRPr="006D22F9">
              <w:rPr>
                <w:b/>
                <w:i/>
                <w:lang w:val="en-GB"/>
              </w:rPr>
              <w:t xml:space="preserve">Member States shall offer a broad variety of eco-schemes in order to ensure that farmers are able to participate and to reward different ambition levels. Member States shall arrange different schemes to provide co-benefits, promote synergies and emphasise an integrated approach. </w:t>
            </w:r>
            <w:commentRangeStart w:id="6"/>
            <w:r w:rsidRPr="006D22F9">
              <w:rPr>
                <w:b/>
                <w:i/>
                <w:lang w:val="en-GB"/>
              </w:rPr>
              <w:t>To facilitate coherence and effective rewarding Member States shall establish point or rating systems.</w:t>
            </w:r>
            <w:commentRangeEnd w:id="6"/>
            <w:r>
              <w:rPr>
                <w:rStyle w:val="CommentReference"/>
              </w:rPr>
              <w:commentReference w:id="6"/>
            </w:r>
          </w:p>
        </w:tc>
      </w:tr>
      <w:tr w:rsidR="004A6753" w:rsidRPr="001F36C8" w14:paraId="0E5C64C6" w14:textId="77777777" w:rsidTr="0081007B">
        <w:trPr>
          <w:jc w:val="center"/>
        </w:trPr>
        <w:tc>
          <w:tcPr>
            <w:tcW w:w="4876" w:type="dxa"/>
          </w:tcPr>
          <w:p w14:paraId="29EEA8EA" w14:textId="77777777" w:rsidR="004A6753" w:rsidRPr="00EE201B" w:rsidRDefault="00EE201B" w:rsidP="0081007B">
            <w:pPr>
              <w:pStyle w:val="Normal6"/>
              <w:rPr>
                <w:lang w:val="en-GB"/>
              </w:rPr>
            </w:pPr>
            <w:r w:rsidRPr="00EE201B">
              <w:rPr>
                <w:lang w:val="en-GB"/>
              </w:rPr>
              <w:t>2.</w:t>
            </w:r>
            <w:r w:rsidRPr="00EE201B">
              <w:rPr>
                <w:lang w:val="en-GB"/>
              </w:rPr>
              <w:tab/>
              <w:t xml:space="preserve">Member States shall support under this type of intervention </w:t>
            </w:r>
            <w:r w:rsidRPr="006D22F9">
              <w:rPr>
                <w:b/>
                <w:i/>
                <w:lang w:val="en-GB"/>
              </w:rPr>
              <w:t>genuine</w:t>
            </w:r>
            <w:r w:rsidRPr="00EE201B">
              <w:rPr>
                <w:lang w:val="en-GB"/>
              </w:rPr>
              <w:t xml:space="preserve"> farmers who make commitments to </w:t>
            </w:r>
            <w:r w:rsidRPr="006D22F9">
              <w:rPr>
                <w:b/>
                <w:i/>
                <w:lang w:val="en-GB"/>
              </w:rPr>
              <w:t>observe, on eligible hectares,</w:t>
            </w:r>
            <w:r w:rsidRPr="00EE201B">
              <w:rPr>
                <w:lang w:val="en-GB"/>
              </w:rPr>
              <w:t xml:space="preserve"> agricultural practices </w:t>
            </w:r>
            <w:r w:rsidRPr="006D22F9">
              <w:rPr>
                <w:b/>
                <w:i/>
                <w:lang w:val="en-GB"/>
              </w:rPr>
              <w:t>beneficial</w:t>
            </w:r>
            <w:r w:rsidRPr="00EE201B">
              <w:rPr>
                <w:lang w:val="en-GB"/>
              </w:rPr>
              <w:t xml:space="preserve"> for the climate </w:t>
            </w:r>
            <w:r w:rsidRPr="006D22F9">
              <w:rPr>
                <w:b/>
                <w:i/>
                <w:lang w:val="en-GB"/>
              </w:rPr>
              <w:t>and</w:t>
            </w:r>
            <w:r w:rsidRPr="00EE201B">
              <w:rPr>
                <w:lang w:val="en-GB"/>
              </w:rPr>
              <w:t xml:space="preserve"> the environment.</w:t>
            </w:r>
          </w:p>
        </w:tc>
        <w:tc>
          <w:tcPr>
            <w:tcW w:w="4876" w:type="dxa"/>
          </w:tcPr>
          <w:p w14:paraId="43D2F060" w14:textId="77777777" w:rsidR="004A6753" w:rsidRPr="001F36C8" w:rsidRDefault="00EE201B" w:rsidP="0081007B">
            <w:pPr>
              <w:pStyle w:val="Normal6"/>
              <w:rPr>
                <w:szCs w:val="24"/>
                <w:lang w:val="en-GB"/>
              </w:rPr>
            </w:pPr>
            <w:r w:rsidRPr="00EE201B">
              <w:rPr>
                <w:lang w:val="en-GB"/>
              </w:rPr>
              <w:t>2.</w:t>
            </w:r>
            <w:r w:rsidRPr="00EE201B">
              <w:rPr>
                <w:lang w:val="en-GB"/>
              </w:rPr>
              <w:tab/>
              <w:t xml:space="preserve">Member States shall support under this type of intervention </w:t>
            </w:r>
            <w:r w:rsidRPr="006D22F9">
              <w:rPr>
                <w:b/>
                <w:i/>
                <w:lang w:val="en-GB"/>
              </w:rPr>
              <w:t>active farmers or groups of</w:t>
            </w:r>
            <w:r w:rsidRPr="00EE201B">
              <w:rPr>
                <w:lang w:val="en-GB"/>
              </w:rPr>
              <w:t xml:space="preserve"> farmers who make commitments to </w:t>
            </w:r>
            <w:r w:rsidRPr="006D22F9">
              <w:rPr>
                <w:b/>
                <w:i/>
                <w:lang w:val="en-GB"/>
              </w:rPr>
              <w:t>preserve and deliver beneficial practices and convert to</w:t>
            </w:r>
            <w:r w:rsidRPr="00EE201B">
              <w:rPr>
                <w:lang w:val="en-GB"/>
              </w:rPr>
              <w:t xml:space="preserve"> agricultural practices </w:t>
            </w:r>
            <w:r w:rsidRPr="006D22F9">
              <w:rPr>
                <w:b/>
                <w:i/>
                <w:lang w:val="en-GB"/>
              </w:rPr>
              <w:t>and techniques and certified schemes that make a stronger contribution</w:t>
            </w:r>
            <w:r w:rsidRPr="00EE201B">
              <w:rPr>
                <w:lang w:val="en-GB"/>
              </w:rPr>
              <w:t xml:space="preserve"> for the climate</w:t>
            </w:r>
            <w:r w:rsidRPr="006D22F9">
              <w:rPr>
                <w:b/>
                <w:i/>
                <w:lang w:val="en-GB"/>
              </w:rPr>
              <w:t>,</w:t>
            </w:r>
            <w:r w:rsidRPr="00EE201B">
              <w:rPr>
                <w:lang w:val="en-GB"/>
              </w:rPr>
              <w:t xml:space="preserve"> the environment </w:t>
            </w:r>
            <w:r w:rsidRPr="006D22F9">
              <w:rPr>
                <w:b/>
                <w:i/>
                <w:lang w:val="en-GB"/>
              </w:rPr>
              <w:t>and animal welfare, which are established in accordance with Article 28a and included in the lists referred to in Article 28b and are tailored to address specific national or regional needs</w:t>
            </w:r>
            <w:r w:rsidRPr="00EE201B">
              <w:rPr>
                <w:lang w:val="en-GB"/>
              </w:rPr>
              <w:t>.</w:t>
            </w:r>
          </w:p>
        </w:tc>
      </w:tr>
      <w:tr w:rsidR="004A6753" w:rsidRPr="001F36C8" w14:paraId="24261DAF" w14:textId="77777777" w:rsidTr="0081007B">
        <w:trPr>
          <w:jc w:val="center"/>
        </w:trPr>
        <w:tc>
          <w:tcPr>
            <w:tcW w:w="4876" w:type="dxa"/>
          </w:tcPr>
          <w:p w14:paraId="0992C7DD" w14:textId="77777777" w:rsidR="004A6753" w:rsidRPr="00EE201B" w:rsidRDefault="00EE201B" w:rsidP="0081007B">
            <w:pPr>
              <w:pStyle w:val="Normal6"/>
              <w:rPr>
                <w:lang w:val="en-GB"/>
              </w:rPr>
            </w:pPr>
            <w:r w:rsidRPr="00EE201B">
              <w:rPr>
                <w:lang w:val="en-GB"/>
              </w:rPr>
              <w:t>3.</w:t>
            </w:r>
            <w:r w:rsidRPr="00EE201B">
              <w:rPr>
                <w:lang w:val="en-GB"/>
              </w:rPr>
              <w:tab/>
            </w:r>
            <w:r w:rsidRPr="006D22F9">
              <w:rPr>
                <w:b/>
                <w:i/>
                <w:lang w:val="en-GB"/>
              </w:rPr>
              <w:t>Member States</w:t>
            </w:r>
            <w:r w:rsidRPr="00EE201B">
              <w:rPr>
                <w:lang w:val="en-GB"/>
              </w:rPr>
              <w:t xml:space="preserve"> shall </w:t>
            </w:r>
            <w:r w:rsidRPr="006D22F9">
              <w:rPr>
                <w:b/>
                <w:i/>
                <w:lang w:val="en-GB"/>
              </w:rPr>
              <w:t>establish the list of agricultural practices beneficial for the climate and the environment</w:t>
            </w:r>
            <w:r w:rsidRPr="00EE201B">
              <w:rPr>
                <w:lang w:val="en-GB"/>
              </w:rPr>
              <w:t>.</w:t>
            </w:r>
          </w:p>
        </w:tc>
        <w:tc>
          <w:tcPr>
            <w:tcW w:w="4876" w:type="dxa"/>
          </w:tcPr>
          <w:p w14:paraId="5F0A2B25" w14:textId="77777777" w:rsidR="004A6753" w:rsidRPr="001F36C8" w:rsidRDefault="00EE201B" w:rsidP="0081007B">
            <w:pPr>
              <w:pStyle w:val="Normal6"/>
              <w:rPr>
                <w:szCs w:val="24"/>
                <w:lang w:val="en-GB"/>
              </w:rPr>
            </w:pPr>
            <w:r w:rsidRPr="00EE201B">
              <w:rPr>
                <w:lang w:val="en-GB"/>
              </w:rPr>
              <w:t>3.</w:t>
            </w:r>
            <w:r w:rsidRPr="00EE201B">
              <w:rPr>
                <w:lang w:val="en-GB"/>
              </w:rPr>
              <w:tab/>
            </w:r>
            <w:r w:rsidRPr="006D22F9">
              <w:rPr>
                <w:b/>
                <w:i/>
                <w:lang w:val="en-GB"/>
              </w:rPr>
              <w:t>Support for eco-schemes</w:t>
            </w:r>
            <w:r w:rsidRPr="00EE201B">
              <w:rPr>
                <w:lang w:val="en-GB"/>
              </w:rPr>
              <w:t xml:space="preserve"> shall </w:t>
            </w:r>
            <w:r w:rsidRPr="006D22F9">
              <w:rPr>
                <w:b/>
                <w:i/>
                <w:lang w:val="en-GB"/>
              </w:rPr>
              <w:t xml:space="preserve">take the form of an annual payment per eligible hectare and/or a per holding payment, and it shall be granted as incentive payments going beyond compensation of additional costs incurred and income foregone, which may consist of a lump sum. The level of payments shall vary according to the ambition level </w:t>
            </w:r>
            <w:r w:rsidRPr="006D22F9">
              <w:rPr>
                <w:b/>
                <w:i/>
                <w:lang w:val="en-GB"/>
              </w:rPr>
              <w:lastRenderedPageBreak/>
              <w:t>of each eco schemes, based on non-discriminatory criteria</w:t>
            </w:r>
            <w:r w:rsidRPr="00EE201B">
              <w:rPr>
                <w:lang w:val="en-GB"/>
              </w:rPr>
              <w:t>.</w:t>
            </w:r>
          </w:p>
        </w:tc>
      </w:tr>
      <w:tr w:rsidR="004A6753" w:rsidRPr="001F36C8" w14:paraId="03A9C5C0" w14:textId="77777777" w:rsidTr="0081007B">
        <w:trPr>
          <w:jc w:val="center"/>
        </w:trPr>
        <w:tc>
          <w:tcPr>
            <w:tcW w:w="4876" w:type="dxa"/>
          </w:tcPr>
          <w:p w14:paraId="654D83FC" w14:textId="77777777" w:rsidR="004A6753" w:rsidRPr="00EE201B" w:rsidRDefault="00EE201B" w:rsidP="0081007B">
            <w:pPr>
              <w:pStyle w:val="Normal6"/>
              <w:rPr>
                <w:lang w:val="en-GB"/>
              </w:rPr>
            </w:pPr>
            <w:r w:rsidRPr="006D22F9">
              <w:rPr>
                <w:b/>
                <w:i/>
                <w:lang w:val="en-GB"/>
              </w:rPr>
              <w:lastRenderedPageBreak/>
              <w:t>4.</w:t>
            </w:r>
            <w:r w:rsidRPr="00EE201B">
              <w:rPr>
                <w:lang w:val="en-GB"/>
              </w:rPr>
              <w:t xml:space="preserve"> </w:t>
            </w:r>
            <w:r w:rsidRPr="006D22F9">
              <w:rPr>
                <w:b/>
                <w:i/>
                <w:lang w:val="en-GB"/>
              </w:rPr>
              <w:t>Those practices shall be designed to meet one or more of the specific environmental- and climate-related objectives laid down in points (d), (e) and (f) of Article 6(1).</w:t>
            </w:r>
          </w:p>
        </w:tc>
        <w:tc>
          <w:tcPr>
            <w:tcW w:w="4876" w:type="dxa"/>
          </w:tcPr>
          <w:p w14:paraId="69CD4A56" w14:textId="77777777" w:rsidR="004A6753" w:rsidRPr="001F36C8" w:rsidRDefault="004A6753" w:rsidP="0081007B">
            <w:pPr>
              <w:pStyle w:val="Normal6"/>
              <w:rPr>
                <w:szCs w:val="24"/>
                <w:lang w:val="en-GB"/>
              </w:rPr>
            </w:pPr>
          </w:p>
        </w:tc>
      </w:tr>
      <w:tr w:rsidR="004A6753" w:rsidRPr="001F36C8" w14:paraId="2CE667A4" w14:textId="77777777" w:rsidTr="0081007B">
        <w:trPr>
          <w:jc w:val="center"/>
        </w:trPr>
        <w:tc>
          <w:tcPr>
            <w:tcW w:w="4876" w:type="dxa"/>
          </w:tcPr>
          <w:p w14:paraId="2313F792" w14:textId="77777777" w:rsidR="004A6753" w:rsidRPr="00EE201B" w:rsidRDefault="00EE201B" w:rsidP="0081007B">
            <w:pPr>
              <w:pStyle w:val="Normal6"/>
              <w:rPr>
                <w:lang w:val="en-GB"/>
              </w:rPr>
            </w:pPr>
            <w:r w:rsidRPr="006D22F9">
              <w:rPr>
                <w:b/>
                <w:i/>
                <w:lang w:val="en-GB"/>
              </w:rPr>
              <w:t>5.</w:t>
            </w:r>
            <w:r w:rsidRPr="00EE201B">
              <w:rPr>
                <w:lang w:val="en-GB"/>
              </w:rPr>
              <w:t xml:space="preserve"> </w:t>
            </w:r>
            <w:r w:rsidRPr="006D22F9">
              <w:rPr>
                <w:b/>
                <w:i/>
                <w:lang w:val="en-GB"/>
              </w:rPr>
              <w:t>Under this type of interventions, Member States shall only provide payments covering commitments which:(a)</w:t>
            </w:r>
            <w:r w:rsidRPr="006D22F9">
              <w:rPr>
                <w:b/>
                <w:i/>
                <w:lang w:val="en-GB"/>
              </w:rPr>
              <w:tab/>
              <w:t>go beyond the relevant statutory management requirements and standards of good agricultural and environmental condition established under Section 2 of Chapter I of this Title;</w:t>
            </w:r>
          </w:p>
        </w:tc>
        <w:tc>
          <w:tcPr>
            <w:tcW w:w="4876" w:type="dxa"/>
          </w:tcPr>
          <w:p w14:paraId="500D64F2" w14:textId="77777777" w:rsidR="004A6753" w:rsidRPr="001F36C8" w:rsidRDefault="004A6753" w:rsidP="0081007B">
            <w:pPr>
              <w:pStyle w:val="Normal6"/>
              <w:rPr>
                <w:szCs w:val="24"/>
                <w:lang w:val="en-GB"/>
              </w:rPr>
            </w:pPr>
          </w:p>
        </w:tc>
      </w:tr>
      <w:tr w:rsidR="004A6753" w:rsidRPr="001F36C8" w14:paraId="5060F0FF" w14:textId="77777777" w:rsidTr="0081007B">
        <w:trPr>
          <w:jc w:val="center"/>
        </w:trPr>
        <w:tc>
          <w:tcPr>
            <w:tcW w:w="4876" w:type="dxa"/>
          </w:tcPr>
          <w:p w14:paraId="1E22BC3F" w14:textId="77777777" w:rsidR="004A6753" w:rsidRPr="00EE201B" w:rsidRDefault="00EE201B" w:rsidP="0081007B">
            <w:pPr>
              <w:pStyle w:val="Normal6"/>
              <w:rPr>
                <w:lang w:val="en-GB"/>
              </w:rPr>
            </w:pPr>
            <w:r w:rsidRPr="006D22F9">
              <w:rPr>
                <w:b/>
                <w:i/>
                <w:lang w:val="en-GB"/>
              </w:rPr>
              <w:t>(b)</w:t>
            </w:r>
            <w:r w:rsidRPr="006D22F9">
              <w:rPr>
                <w:b/>
                <w:i/>
                <w:lang w:val="en-GB"/>
              </w:rPr>
              <w:tab/>
              <w:t>go beyond the minimum requirements for the use of fertilisers and plant protection products, animal welfare, as well as other mandatory requirements established by national and Union law;</w:t>
            </w:r>
          </w:p>
        </w:tc>
        <w:tc>
          <w:tcPr>
            <w:tcW w:w="4876" w:type="dxa"/>
          </w:tcPr>
          <w:p w14:paraId="359C832C" w14:textId="77777777" w:rsidR="004A6753" w:rsidRPr="001F36C8" w:rsidRDefault="004A6753" w:rsidP="0081007B">
            <w:pPr>
              <w:pStyle w:val="Normal6"/>
              <w:rPr>
                <w:szCs w:val="24"/>
                <w:lang w:val="en-GB"/>
              </w:rPr>
            </w:pPr>
          </w:p>
        </w:tc>
      </w:tr>
      <w:tr w:rsidR="004A6753" w:rsidRPr="001F36C8" w14:paraId="48149F3E" w14:textId="77777777" w:rsidTr="0081007B">
        <w:trPr>
          <w:jc w:val="center"/>
        </w:trPr>
        <w:tc>
          <w:tcPr>
            <w:tcW w:w="4876" w:type="dxa"/>
          </w:tcPr>
          <w:p w14:paraId="320A4173" w14:textId="77777777" w:rsidR="004A6753" w:rsidRPr="00EE201B" w:rsidRDefault="00EE201B" w:rsidP="0081007B">
            <w:pPr>
              <w:pStyle w:val="Normal6"/>
              <w:rPr>
                <w:lang w:val="en-GB"/>
              </w:rPr>
            </w:pPr>
            <w:r w:rsidRPr="006D22F9">
              <w:rPr>
                <w:b/>
                <w:i/>
                <w:lang w:val="en-GB"/>
              </w:rPr>
              <w:t>(c)</w:t>
            </w:r>
            <w:r w:rsidRPr="006D22F9">
              <w:rPr>
                <w:b/>
                <w:i/>
                <w:lang w:val="en-GB"/>
              </w:rPr>
              <w:tab/>
              <w:t>go beyond the conditions established for the maintenance of the agricultural area in accordance with point (a) of Article 4(1);</w:t>
            </w:r>
          </w:p>
        </w:tc>
        <w:tc>
          <w:tcPr>
            <w:tcW w:w="4876" w:type="dxa"/>
          </w:tcPr>
          <w:p w14:paraId="4E7DB84F" w14:textId="77777777" w:rsidR="004A6753" w:rsidRPr="001F36C8" w:rsidRDefault="004A6753" w:rsidP="0081007B">
            <w:pPr>
              <w:pStyle w:val="Normal6"/>
              <w:rPr>
                <w:szCs w:val="24"/>
                <w:lang w:val="en-GB"/>
              </w:rPr>
            </w:pPr>
          </w:p>
        </w:tc>
      </w:tr>
      <w:tr w:rsidR="004A6753" w:rsidRPr="001F36C8" w14:paraId="3250A3BC" w14:textId="77777777" w:rsidTr="0081007B">
        <w:trPr>
          <w:jc w:val="center"/>
        </w:trPr>
        <w:tc>
          <w:tcPr>
            <w:tcW w:w="4876" w:type="dxa"/>
          </w:tcPr>
          <w:p w14:paraId="5A2DE09E" w14:textId="77777777" w:rsidR="004A6753" w:rsidRPr="00EE201B" w:rsidRDefault="00EE201B" w:rsidP="0081007B">
            <w:pPr>
              <w:pStyle w:val="Normal6"/>
              <w:rPr>
                <w:lang w:val="en-GB"/>
              </w:rPr>
            </w:pPr>
            <w:r w:rsidRPr="006D22F9">
              <w:rPr>
                <w:b/>
                <w:i/>
                <w:lang w:val="en-GB"/>
              </w:rPr>
              <w:t>(d)</w:t>
            </w:r>
            <w:r w:rsidRPr="006D22F9">
              <w:rPr>
                <w:b/>
                <w:i/>
                <w:lang w:val="en-GB"/>
              </w:rPr>
              <w:tab/>
              <w:t>are different from commitments in respect of which payments are granted under Article 65.</w:t>
            </w:r>
          </w:p>
        </w:tc>
        <w:tc>
          <w:tcPr>
            <w:tcW w:w="4876" w:type="dxa"/>
          </w:tcPr>
          <w:p w14:paraId="2D0EF819" w14:textId="77777777" w:rsidR="004A6753" w:rsidRPr="001F36C8" w:rsidRDefault="004A6753" w:rsidP="0081007B">
            <w:pPr>
              <w:pStyle w:val="Normal6"/>
              <w:rPr>
                <w:szCs w:val="24"/>
                <w:lang w:val="en-GB"/>
              </w:rPr>
            </w:pPr>
          </w:p>
        </w:tc>
      </w:tr>
      <w:tr w:rsidR="004A6753" w:rsidRPr="001F36C8" w14:paraId="7A05EC85" w14:textId="77777777" w:rsidTr="0081007B">
        <w:trPr>
          <w:jc w:val="center"/>
        </w:trPr>
        <w:tc>
          <w:tcPr>
            <w:tcW w:w="4876" w:type="dxa"/>
          </w:tcPr>
          <w:p w14:paraId="5AA6362B" w14:textId="77777777" w:rsidR="004A6753" w:rsidRPr="00EE201B" w:rsidRDefault="00EE201B" w:rsidP="0081007B">
            <w:pPr>
              <w:pStyle w:val="Normal6"/>
              <w:rPr>
                <w:lang w:val="en-GB"/>
              </w:rPr>
            </w:pPr>
            <w:r w:rsidRPr="006D22F9">
              <w:rPr>
                <w:b/>
                <w:i/>
                <w:lang w:val="en-GB"/>
              </w:rPr>
              <w:t>6.</w:t>
            </w:r>
            <w:r w:rsidRPr="00EE201B">
              <w:rPr>
                <w:lang w:val="en-GB"/>
              </w:rPr>
              <w:t xml:space="preserve"> </w:t>
            </w:r>
            <w:r w:rsidRPr="006D22F9">
              <w:rPr>
                <w:b/>
                <w:i/>
                <w:lang w:val="en-GB"/>
              </w:rPr>
              <w:t>Support for eco-schemes shall take the form of an annual payment per eligible hectare and it shall be granted as either:(a)</w:t>
            </w:r>
            <w:r w:rsidRPr="006D22F9">
              <w:rPr>
                <w:b/>
                <w:i/>
                <w:lang w:val="en-GB"/>
              </w:rPr>
              <w:tab/>
              <w:t>payments additional to the basic income support as set out in Subsection 2 of this Section; or</w:t>
            </w:r>
          </w:p>
        </w:tc>
        <w:tc>
          <w:tcPr>
            <w:tcW w:w="4876" w:type="dxa"/>
          </w:tcPr>
          <w:p w14:paraId="3578E56A" w14:textId="77777777" w:rsidR="004A6753" w:rsidRPr="001F36C8" w:rsidRDefault="004A6753" w:rsidP="0081007B">
            <w:pPr>
              <w:pStyle w:val="Normal6"/>
              <w:rPr>
                <w:szCs w:val="24"/>
                <w:lang w:val="en-GB"/>
              </w:rPr>
            </w:pPr>
          </w:p>
        </w:tc>
      </w:tr>
      <w:tr w:rsidR="004A6753" w:rsidRPr="001F36C8" w14:paraId="01CED3FC" w14:textId="77777777" w:rsidTr="0081007B">
        <w:trPr>
          <w:jc w:val="center"/>
        </w:trPr>
        <w:tc>
          <w:tcPr>
            <w:tcW w:w="4876" w:type="dxa"/>
          </w:tcPr>
          <w:p w14:paraId="504FA26D" w14:textId="77777777" w:rsidR="004A6753" w:rsidRPr="00EE201B" w:rsidRDefault="00EE201B" w:rsidP="0081007B">
            <w:pPr>
              <w:pStyle w:val="Normal6"/>
              <w:rPr>
                <w:lang w:val="en-GB"/>
              </w:rPr>
            </w:pPr>
            <w:r w:rsidRPr="006D22F9">
              <w:rPr>
                <w:b/>
                <w:i/>
                <w:lang w:val="en-GB"/>
              </w:rPr>
              <w:t>(b)</w:t>
            </w:r>
            <w:r w:rsidRPr="006D22F9">
              <w:rPr>
                <w:b/>
                <w:i/>
                <w:lang w:val="en-GB"/>
              </w:rPr>
              <w:tab/>
              <w:t>payments compensating beneficiaries for all or part of the additional costs incurred and income foregone as a result of the commitments as set pursuant to Article 65.</w:t>
            </w:r>
          </w:p>
        </w:tc>
        <w:tc>
          <w:tcPr>
            <w:tcW w:w="4876" w:type="dxa"/>
          </w:tcPr>
          <w:p w14:paraId="1A171008" w14:textId="77777777" w:rsidR="004A6753" w:rsidRPr="001F36C8" w:rsidRDefault="004A6753" w:rsidP="0081007B">
            <w:pPr>
              <w:pStyle w:val="Normal6"/>
              <w:rPr>
                <w:szCs w:val="24"/>
                <w:lang w:val="en-GB"/>
              </w:rPr>
            </w:pPr>
          </w:p>
        </w:tc>
      </w:tr>
      <w:tr w:rsidR="004A6753" w:rsidRPr="001F36C8" w14:paraId="5F3932AF" w14:textId="77777777" w:rsidTr="0081007B">
        <w:trPr>
          <w:jc w:val="center"/>
        </w:trPr>
        <w:tc>
          <w:tcPr>
            <w:tcW w:w="4876" w:type="dxa"/>
          </w:tcPr>
          <w:p w14:paraId="76A70C30" w14:textId="77777777" w:rsidR="004A6753" w:rsidRPr="00EE201B" w:rsidRDefault="00EE201B" w:rsidP="0081007B">
            <w:pPr>
              <w:pStyle w:val="Normal6"/>
              <w:rPr>
                <w:lang w:val="en-GB"/>
              </w:rPr>
            </w:pPr>
            <w:r w:rsidRPr="006D22F9">
              <w:rPr>
                <w:b/>
                <w:i/>
                <w:lang w:val="en-GB"/>
              </w:rPr>
              <w:t>7.</w:t>
            </w:r>
            <w:r w:rsidRPr="00EE201B">
              <w:rPr>
                <w:lang w:val="en-GB"/>
              </w:rPr>
              <w:t xml:space="preserve"> </w:t>
            </w:r>
            <w:r w:rsidRPr="006D22F9">
              <w:rPr>
                <w:b/>
                <w:i/>
                <w:lang w:val="en-GB"/>
              </w:rPr>
              <w:t>Member States shall ensure that interventions under this Article are consistent with those granted under Article 65.</w:t>
            </w:r>
          </w:p>
        </w:tc>
        <w:tc>
          <w:tcPr>
            <w:tcW w:w="4876" w:type="dxa"/>
          </w:tcPr>
          <w:p w14:paraId="018B7CA3" w14:textId="77777777" w:rsidR="004A6753" w:rsidRPr="001F36C8" w:rsidRDefault="004A6753" w:rsidP="0081007B">
            <w:pPr>
              <w:pStyle w:val="Normal6"/>
              <w:rPr>
                <w:szCs w:val="24"/>
                <w:lang w:val="en-GB"/>
              </w:rPr>
            </w:pPr>
          </w:p>
        </w:tc>
      </w:tr>
      <w:tr w:rsidR="004A6753" w:rsidRPr="001F36C8" w14:paraId="08A93F7F" w14:textId="77777777" w:rsidTr="0081007B">
        <w:trPr>
          <w:jc w:val="center"/>
        </w:trPr>
        <w:tc>
          <w:tcPr>
            <w:tcW w:w="4876" w:type="dxa"/>
          </w:tcPr>
          <w:p w14:paraId="305A49A1" w14:textId="77777777" w:rsidR="004A6753" w:rsidRPr="00EE201B" w:rsidRDefault="00EE201B" w:rsidP="0081007B">
            <w:pPr>
              <w:pStyle w:val="Normal6"/>
              <w:rPr>
                <w:lang w:val="en-GB"/>
              </w:rPr>
            </w:pPr>
            <w:r w:rsidRPr="006D22F9">
              <w:rPr>
                <w:b/>
                <w:i/>
                <w:lang w:val="en-GB"/>
              </w:rPr>
              <w:t>8.</w:t>
            </w:r>
            <w:r w:rsidRPr="00EE201B">
              <w:rPr>
                <w:lang w:val="en-GB"/>
              </w:rPr>
              <w:t xml:space="preserve"> </w:t>
            </w:r>
            <w:r w:rsidRPr="006D22F9">
              <w:rPr>
                <w:b/>
                <w:i/>
                <w:lang w:val="en-GB"/>
              </w:rPr>
              <w:t>The Commission is empowered to adopt delegated acts in accordance with Article 138 supplementing this Regulation with further rules on the eco-schemes.</w:t>
            </w:r>
          </w:p>
        </w:tc>
        <w:tc>
          <w:tcPr>
            <w:tcW w:w="4876" w:type="dxa"/>
          </w:tcPr>
          <w:p w14:paraId="12C77391" w14:textId="77777777" w:rsidR="004A6753" w:rsidRPr="001F36C8" w:rsidRDefault="004A6753" w:rsidP="0081007B">
            <w:pPr>
              <w:pStyle w:val="Normal6"/>
              <w:rPr>
                <w:szCs w:val="24"/>
                <w:lang w:val="en-GB"/>
              </w:rPr>
            </w:pPr>
          </w:p>
        </w:tc>
      </w:tr>
    </w:tbl>
    <w:p w14:paraId="5FF598FE"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6BFB2867" w14:textId="77777777" w:rsidR="004A6753" w:rsidRPr="001F36C8" w:rsidRDefault="004A6753" w:rsidP="004A6753">
      <w:r w:rsidRPr="001F36C8">
        <w:rPr>
          <w:rStyle w:val="HideTWBExt"/>
        </w:rPr>
        <w:t>&lt;/Amend&gt;</w:t>
      </w:r>
    </w:p>
    <w:p w14:paraId="1D49F959" w14:textId="77777777" w:rsidR="004A6753" w:rsidRPr="001F36C8" w:rsidRDefault="004A6753" w:rsidP="004A6753">
      <w:pPr>
        <w:pStyle w:val="AMNumberTabs"/>
        <w:keepNext/>
        <w:rPr>
          <w:lang w:val="en-GB"/>
        </w:rPr>
      </w:pPr>
      <w:r>
        <w:rPr>
          <w:rStyle w:val="HideTWBExt"/>
          <w:b w:val="0"/>
          <w:lang w:val="en-GB"/>
        </w:rPr>
        <w:lastRenderedPageBreak/>
        <w:t>&lt;Amend&gt;</w:t>
      </w:r>
      <w:r w:rsidR="00A97FC6" w:rsidRPr="00A97FC6">
        <w:rPr>
          <w:lang w:val="en-GB"/>
        </w:rPr>
        <w:t>Amendment</w:t>
      </w:r>
      <w:r w:rsidRPr="001F36C8">
        <w:rPr>
          <w:lang w:val="en-GB"/>
        </w:rPr>
        <w:tab/>
      </w:r>
      <w:r w:rsidRPr="001F36C8">
        <w:rPr>
          <w:lang w:val="en-GB"/>
        </w:rPr>
        <w:tab/>
      </w:r>
      <w:r w:rsidR="006D22F9">
        <w:rPr>
          <w:lang w:val="en-GB"/>
        </w:rPr>
        <w:t>5</w:t>
      </w:r>
      <w:r w:rsidRPr="001F36C8">
        <w:rPr>
          <w:rStyle w:val="HideTWBExt"/>
          <w:b w:val="0"/>
          <w:lang w:val="en-GB"/>
        </w:rPr>
        <w:t>&lt;NumAm&gt;&lt;/NumAm&gt;</w:t>
      </w:r>
    </w:p>
    <w:p w14:paraId="39EF7D9C"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33B29EF1" w14:textId="77777777" w:rsidR="004A6753" w:rsidRPr="00ED66A2" w:rsidRDefault="004A6753" w:rsidP="004A6753">
      <w:r w:rsidRPr="007E6396">
        <w:rPr>
          <w:rStyle w:val="HideTWBExt"/>
        </w:rPr>
        <w:t>&lt;/RepeatBlock-By&gt;</w:t>
      </w:r>
    </w:p>
    <w:p w14:paraId="66885226"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16C46A67"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28 b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1A823024" w14:textId="77777777" w:rsidTr="0081007B">
        <w:trPr>
          <w:jc w:val="center"/>
        </w:trPr>
        <w:tc>
          <w:tcPr>
            <w:tcW w:w="9752" w:type="dxa"/>
            <w:gridSpan w:val="2"/>
          </w:tcPr>
          <w:p w14:paraId="0832A8CB" w14:textId="77777777" w:rsidR="004A6753" w:rsidRPr="001F36C8" w:rsidRDefault="004A6753" w:rsidP="0081007B">
            <w:pPr>
              <w:keepNext/>
            </w:pPr>
          </w:p>
        </w:tc>
      </w:tr>
      <w:tr w:rsidR="004A6753" w:rsidRPr="001F36C8" w14:paraId="11D0CFD9" w14:textId="77777777" w:rsidTr="0081007B">
        <w:trPr>
          <w:jc w:val="center"/>
        </w:trPr>
        <w:tc>
          <w:tcPr>
            <w:tcW w:w="4876" w:type="dxa"/>
          </w:tcPr>
          <w:p w14:paraId="0F7D97FE"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603CA69D" w14:textId="77777777" w:rsidR="004A6753" w:rsidRPr="001F36C8" w:rsidRDefault="004A6753" w:rsidP="0081007B">
            <w:pPr>
              <w:pStyle w:val="ColumnHeading"/>
              <w:keepNext/>
              <w:rPr>
                <w:lang w:val="en-GB"/>
              </w:rPr>
            </w:pPr>
            <w:r w:rsidRPr="001F36C8">
              <w:rPr>
                <w:lang w:val="en-GB"/>
              </w:rPr>
              <w:t>Amendment</w:t>
            </w:r>
          </w:p>
        </w:tc>
      </w:tr>
      <w:tr w:rsidR="004A6753" w:rsidRPr="001F36C8" w14:paraId="05A97F32" w14:textId="77777777" w:rsidTr="0081007B">
        <w:trPr>
          <w:jc w:val="center"/>
        </w:trPr>
        <w:tc>
          <w:tcPr>
            <w:tcW w:w="4876" w:type="dxa"/>
          </w:tcPr>
          <w:p w14:paraId="12C26026" w14:textId="77777777" w:rsidR="004A6753" w:rsidRPr="00EE201B" w:rsidRDefault="004A6753" w:rsidP="0081007B">
            <w:pPr>
              <w:pStyle w:val="Normal6"/>
              <w:rPr>
                <w:lang w:val="en-GB"/>
              </w:rPr>
            </w:pPr>
          </w:p>
        </w:tc>
        <w:tc>
          <w:tcPr>
            <w:tcW w:w="4876" w:type="dxa"/>
          </w:tcPr>
          <w:p w14:paraId="45EF3AA4" w14:textId="77777777" w:rsidR="004A6753" w:rsidRPr="001F36C8" w:rsidRDefault="00EE201B" w:rsidP="0081007B">
            <w:pPr>
              <w:pStyle w:val="Normal6"/>
              <w:jc w:val="center"/>
              <w:rPr>
                <w:szCs w:val="24"/>
                <w:lang w:val="en-GB"/>
              </w:rPr>
            </w:pPr>
            <w:r w:rsidRPr="00EE201B">
              <w:rPr>
                <w:b/>
                <w:i/>
                <w:lang w:val="en-GB"/>
              </w:rPr>
              <w:t>Article 28 b</w:t>
            </w:r>
          </w:p>
        </w:tc>
      </w:tr>
      <w:tr w:rsidR="004A6753" w:rsidRPr="001F36C8" w14:paraId="5D546015" w14:textId="77777777" w:rsidTr="0081007B">
        <w:trPr>
          <w:jc w:val="center"/>
        </w:trPr>
        <w:tc>
          <w:tcPr>
            <w:tcW w:w="4876" w:type="dxa"/>
          </w:tcPr>
          <w:p w14:paraId="52815DEE" w14:textId="77777777" w:rsidR="004A6753" w:rsidRPr="00EE201B" w:rsidRDefault="004A6753" w:rsidP="0081007B">
            <w:pPr>
              <w:pStyle w:val="Normal6"/>
              <w:rPr>
                <w:lang w:val="en-GB"/>
              </w:rPr>
            </w:pPr>
          </w:p>
        </w:tc>
        <w:tc>
          <w:tcPr>
            <w:tcW w:w="4876" w:type="dxa"/>
          </w:tcPr>
          <w:p w14:paraId="47FD5937" w14:textId="77777777" w:rsidR="004A6753" w:rsidRPr="001F36C8" w:rsidRDefault="00EE201B" w:rsidP="0081007B">
            <w:pPr>
              <w:pStyle w:val="Normal6"/>
              <w:jc w:val="center"/>
              <w:rPr>
                <w:szCs w:val="24"/>
                <w:lang w:val="en-GB"/>
              </w:rPr>
            </w:pPr>
            <w:r w:rsidRPr="006D22F9">
              <w:rPr>
                <w:b/>
                <w:i/>
                <w:lang w:val="en-GB"/>
              </w:rPr>
              <w:t>Practices eligible for schemes for the climate, environment and animal welfare</w:t>
            </w:r>
          </w:p>
        </w:tc>
      </w:tr>
      <w:tr w:rsidR="004A6753" w:rsidRPr="001F36C8" w14:paraId="7640293A" w14:textId="77777777" w:rsidTr="0081007B">
        <w:trPr>
          <w:jc w:val="center"/>
        </w:trPr>
        <w:tc>
          <w:tcPr>
            <w:tcW w:w="4876" w:type="dxa"/>
          </w:tcPr>
          <w:p w14:paraId="08F6DBF3" w14:textId="77777777" w:rsidR="004A6753" w:rsidRPr="00EE201B" w:rsidRDefault="004A6753" w:rsidP="0081007B">
            <w:pPr>
              <w:pStyle w:val="Normal6"/>
              <w:rPr>
                <w:lang w:val="en-GB"/>
              </w:rPr>
            </w:pPr>
          </w:p>
        </w:tc>
        <w:tc>
          <w:tcPr>
            <w:tcW w:w="4876" w:type="dxa"/>
          </w:tcPr>
          <w:p w14:paraId="0160B659" w14:textId="77777777" w:rsidR="004A6753" w:rsidRPr="001F36C8" w:rsidRDefault="00EE201B" w:rsidP="0081007B">
            <w:pPr>
              <w:pStyle w:val="Normal6"/>
              <w:rPr>
                <w:lang w:val="en-GB"/>
              </w:rPr>
            </w:pPr>
            <w:r w:rsidRPr="006D22F9">
              <w:rPr>
                <w:b/>
                <w:i/>
                <w:lang w:val="en-GB"/>
              </w:rPr>
              <w:t>1. The agricultural practices covered by this type of intervention shall contribute to the achievement of one or more of the specific objectives set out in points (d), (e), (f) and (</w:t>
            </w:r>
            <w:proofErr w:type="spellStart"/>
            <w:r w:rsidRPr="006D22F9">
              <w:rPr>
                <w:b/>
                <w:i/>
                <w:lang w:val="en-GB"/>
              </w:rPr>
              <w:t>i</w:t>
            </w:r>
            <w:proofErr w:type="spellEnd"/>
            <w:r w:rsidRPr="006D22F9">
              <w:rPr>
                <w:b/>
                <w:i/>
                <w:lang w:val="en-GB"/>
              </w:rPr>
              <w:t xml:space="preserve">) of Article 6(1), </w:t>
            </w:r>
            <w:commentRangeStart w:id="7"/>
            <w:commentRangeStart w:id="8"/>
            <w:commentRangeStart w:id="9"/>
            <w:commentRangeStart w:id="10"/>
            <w:r w:rsidRPr="006D01ED">
              <w:rPr>
                <w:b/>
                <w:i/>
                <w:color w:val="FF0000"/>
                <w:lang w:val="en-GB"/>
              </w:rPr>
              <w:t>while maintaining and enhancing the economic performance of farmers in accordance with the specific objectives set out in points (a) and (b)</w:t>
            </w:r>
            <w:commentRangeEnd w:id="10"/>
            <w:r w:rsidR="00027D7C">
              <w:rPr>
                <w:rStyle w:val="CommentReference"/>
                <w:lang w:val="en-GB"/>
              </w:rPr>
              <w:commentReference w:id="10"/>
            </w:r>
            <w:r w:rsidRPr="006D01ED">
              <w:rPr>
                <w:b/>
                <w:i/>
                <w:color w:val="FF0000"/>
                <w:lang w:val="en-GB"/>
              </w:rPr>
              <w:t xml:space="preserve"> of Article 6(1).</w:t>
            </w:r>
            <w:commentRangeEnd w:id="7"/>
            <w:r w:rsidR="006D01ED">
              <w:rPr>
                <w:rStyle w:val="CommentReference"/>
              </w:rPr>
              <w:commentReference w:id="7"/>
            </w:r>
            <w:commentRangeEnd w:id="8"/>
            <w:r>
              <w:rPr>
                <w:rStyle w:val="CommentReference"/>
              </w:rPr>
              <w:commentReference w:id="8"/>
            </w:r>
            <w:commentRangeEnd w:id="9"/>
            <w:r>
              <w:rPr>
                <w:rStyle w:val="CommentReference"/>
              </w:rPr>
              <w:commentReference w:id="9"/>
            </w:r>
          </w:p>
        </w:tc>
      </w:tr>
      <w:tr w:rsidR="004A6753" w:rsidRPr="001F36C8" w14:paraId="088C3A74" w14:textId="77777777" w:rsidTr="0081007B">
        <w:trPr>
          <w:jc w:val="center"/>
        </w:trPr>
        <w:tc>
          <w:tcPr>
            <w:tcW w:w="4876" w:type="dxa"/>
          </w:tcPr>
          <w:p w14:paraId="167A9F6B" w14:textId="77777777" w:rsidR="004A6753" w:rsidRPr="00EE201B" w:rsidRDefault="004A6753" w:rsidP="0081007B">
            <w:pPr>
              <w:pStyle w:val="Normal6"/>
              <w:rPr>
                <w:lang w:val="en-GB"/>
              </w:rPr>
            </w:pPr>
          </w:p>
        </w:tc>
        <w:tc>
          <w:tcPr>
            <w:tcW w:w="4876" w:type="dxa"/>
          </w:tcPr>
          <w:p w14:paraId="794288EF" w14:textId="77777777" w:rsidR="004A6753" w:rsidRPr="001F36C8" w:rsidRDefault="00EE201B" w:rsidP="0081007B">
            <w:pPr>
              <w:pStyle w:val="Normal6"/>
              <w:rPr>
                <w:lang w:val="en-GB"/>
              </w:rPr>
            </w:pPr>
            <w:commentRangeStart w:id="11"/>
            <w:r w:rsidRPr="006D22F9">
              <w:rPr>
                <w:b/>
                <w:i/>
                <w:lang w:val="en-GB"/>
              </w:rPr>
              <w:t xml:space="preserve">2. The agricultural practices referred to in paragraph 1 of this Article shall cover </w:t>
            </w:r>
            <w:r w:rsidRPr="00924E73">
              <w:rPr>
                <w:b/>
                <w:i/>
                <w:highlight w:val="yellow"/>
                <w:lang w:val="en-GB"/>
              </w:rPr>
              <w:t>at least one of</w:t>
            </w:r>
            <w:r w:rsidRPr="006D22F9">
              <w:rPr>
                <w:b/>
                <w:i/>
                <w:lang w:val="en-GB"/>
              </w:rPr>
              <w:t xml:space="preserve"> the following areas of actions for the climate and the environment</w:t>
            </w:r>
            <w:commentRangeEnd w:id="11"/>
            <w:r>
              <w:rPr>
                <w:rStyle w:val="CommentReference"/>
              </w:rPr>
              <w:commentReference w:id="11"/>
            </w:r>
            <w:r w:rsidRPr="006D22F9">
              <w:rPr>
                <w:b/>
                <w:i/>
                <w:lang w:val="en-GB"/>
              </w:rPr>
              <w:t>:</w:t>
            </w:r>
          </w:p>
        </w:tc>
      </w:tr>
      <w:tr w:rsidR="004A6753" w:rsidRPr="001F36C8" w14:paraId="7D73985E" w14:textId="77777777" w:rsidTr="0081007B">
        <w:trPr>
          <w:jc w:val="center"/>
        </w:trPr>
        <w:tc>
          <w:tcPr>
            <w:tcW w:w="4876" w:type="dxa"/>
          </w:tcPr>
          <w:p w14:paraId="06AB30E9" w14:textId="77777777" w:rsidR="004A6753" w:rsidRPr="00EE201B" w:rsidRDefault="004A6753" w:rsidP="0081007B">
            <w:pPr>
              <w:pStyle w:val="Normal6"/>
              <w:rPr>
                <w:lang w:val="en-GB"/>
              </w:rPr>
            </w:pPr>
          </w:p>
        </w:tc>
        <w:tc>
          <w:tcPr>
            <w:tcW w:w="4876" w:type="dxa"/>
          </w:tcPr>
          <w:p w14:paraId="70801A08" w14:textId="77777777" w:rsidR="004A6753" w:rsidRPr="001F36C8" w:rsidRDefault="00EE201B" w:rsidP="0081007B">
            <w:pPr>
              <w:pStyle w:val="Normal6"/>
              <w:rPr>
                <w:lang w:val="en-GB"/>
              </w:rPr>
            </w:pPr>
            <w:r w:rsidRPr="006D22F9">
              <w:rPr>
                <w:b/>
                <w:i/>
                <w:lang w:val="en-GB"/>
              </w:rPr>
              <w:t xml:space="preserve">(a) actions on climate change including reduction of greenhouse gas emissions from agriculture as well as </w:t>
            </w:r>
            <w:commentRangeStart w:id="12"/>
            <w:r w:rsidRPr="13CC6356">
              <w:rPr>
                <w:b/>
                <w:bCs/>
                <w:i/>
                <w:iCs/>
                <w:highlight w:val="yellow"/>
                <w:lang w:val="en-GB"/>
              </w:rPr>
              <w:t>maintenance</w:t>
            </w:r>
            <w:r w:rsidRPr="13CC6356">
              <w:rPr>
                <w:b/>
                <w:bCs/>
                <w:i/>
                <w:iCs/>
                <w:lang w:val="en-GB"/>
              </w:rPr>
              <w:t xml:space="preserve"> </w:t>
            </w:r>
            <w:commentRangeEnd w:id="12"/>
            <w:r>
              <w:rPr>
                <w:rStyle w:val="CommentReference"/>
              </w:rPr>
              <w:commentReference w:id="12"/>
            </w:r>
            <w:r w:rsidRPr="006D22F9">
              <w:rPr>
                <w:b/>
                <w:i/>
                <w:lang w:val="en-GB"/>
              </w:rPr>
              <w:t>and/ or enhancement of carbon sequestration;</w:t>
            </w:r>
          </w:p>
        </w:tc>
      </w:tr>
      <w:tr w:rsidR="004A6753" w:rsidRPr="001F36C8" w14:paraId="461D5C70" w14:textId="77777777" w:rsidTr="0081007B">
        <w:trPr>
          <w:jc w:val="center"/>
        </w:trPr>
        <w:tc>
          <w:tcPr>
            <w:tcW w:w="4876" w:type="dxa"/>
          </w:tcPr>
          <w:p w14:paraId="56A94AE7" w14:textId="77777777" w:rsidR="004A6753" w:rsidRPr="00EE201B" w:rsidRDefault="004A6753" w:rsidP="0081007B">
            <w:pPr>
              <w:pStyle w:val="Normal6"/>
              <w:rPr>
                <w:lang w:val="en-GB"/>
              </w:rPr>
            </w:pPr>
          </w:p>
        </w:tc>
        <w:tc>
          <w:tcPr>
            <w:tcW w:w="4876" w:type="dxa"/>
          </w:tcPr>
          <w:p w14:paraId="37AB6A64" w14:textId="77777777" w:rsidR="004A6753" w:rsidRPr="001F36C8" w:rsidRDefault="00EE201B" w:rsidP="0081007B">
            <w:pPr>
              <w:pStyle w:val="Normal6"/>
              <w:rPr>
                <w:szCs w:val="24"/>
                <w:lang w:val="en-GB"/>
              </w:rPr>
            </w:pPr>
            <w:r w:rsidRPr="006D22F9">
              <w:rPr>
                <w:b/>
                <w:i/>
                <w:lang w:val="en-GB"/>
              </w:rPr>
              <w:t>(b) actions to reduce emissions other than Greenhouse Gases</w:t>
            </w:r>
          </w:p>
        </w:tc>
      </w:tr>
      <w:tr w:rsidR="004A6753" w:rsidRPr="001F36C8" w14:paraId="0D106827" w14:textId="77777777" w:rsidTr="0081007B">
        <w:trPr>
          <w:jc w:val="center"/>
        </w:trPr>
        <w:tc>
          <w:tcPr>
            <w:tcW w:w="4876" w:type="dxa"/>
          </w:tcPr>
          <w:p w14:paraId="6F7013EB" w14:textId="77777777" w:rsidR="004A6753" w:rsidRPr="00EE201B" w:rsidRDefault="004A6753" w:rsidP="0081007B">
            <w:pPr>
              <w:pStyle w:val="Normal6"/>
              <w:rPr>
                <w:lang w:val="en-GB"/>
              </w:rPr>
            </w:pPr>
          </w:p>
        </w:tc>
        <w:tc>
          <w:tcPr>
            <w:tcW w:w="4876" w:type="dxa"/>
          </w:tcPr>
          <w:p w14:paraId="39B91967" w14:textId="77777777" w:rsidR="004A6753" w:rsidRPr="001F36C8" w:rsidRDefault="00EE201B" w:rsidP="0081007B">
            <w:pPr>
              <w:pStyle w:val="Normal6"/>
              <w:rPr>
                <w:szCs w:val="24"/>
                <w:lang w:val="en-GB"/>
              </w:rPr>
            </w:pPr>
            <w:r w:rsidRPr="006D22F9">
              <w:rPr>
                <w:b/>
                <w:i/>
                <w:lang w:val="en-GB"/>
              </w:rPr>
              <w:t xml:space="preserve">(c) </w:t>
            </w:r>
            <w:r w:rsidRPr="00646F95">
              <w:rPr>
                <w:b/>
                <w:i/>
                <w:highlight w:val="yellow"/>
                <w:lang w:val="en-GB"/>
              </w:rPr>
              <w:t>protection</w:t>
            </w:r>
            <w:r w:rsidRPr="006D22F9">
              <w:rPr>
                <w:b/>
                <w:i/>
                <w:lang w:val="en-GB"/>
              </w:rPr>
              <w:t xml:space="preserve"> or improvement of water quality in agricultural areas and reduction of pressure on water resources;</w:t>
            </w:r>
          </w:p>
        </w:tc>
      </w:tr>
      <w:tr w:rsidR="004A6753" w:rsidRPr="001F36C8" w14:paraId="5CE1FDA7" w14:textId="77777777" w:rsidTr="0081007B">
        <w:trPr>
          <w:jc w:val="center"/>
        </w:trPr>
        <w:tc>
          <w:tcPr>
            <w:tcW w:w="4876" w:type="dxa"/>
          </w:tcPr>
          <w:p w14:paraId="49784A94" w14:textId="77777777" w:rsidR="004A6753" w:rsidRPr="00EE201B" w:rsidRDefault="004A6753" w:rsidP="0081007B">
            <w:pPr>
              <w:pStyle w:val="Normal6"/>
              <w:rPr>
                <w:lang w:val="en-GB"/>
              </w:rPr>
            </w:pPr>
          </w:p>
        </w:tc>
        <w:tc>
          <w:tcPr>
            <w:tcW w:w="4876" w:type="dxa"/>
          </w:tcPr>
          <w:p w14:paraId="26D1E243" w14:textId="77777777" w:rsidR="004A6753" w:rsidRPr="001F36C8" w:rsidRDefault="00EE201B" w:rsidP="0081007B">
            <w:pPr>
              <w:pStyle w:val="Normal6"/>
              <w:rPr>
                <w:szCs w:val="24"/>
                <w:lang w:val="en-GB"/>
              </w:rPr>
            </w:pPr>
            <w:r w:rsidRPr="006D22F9">
              <w:rPr>
                <w:b/>
                <w:i/>
                <w:lang w:val="en-GB"/>
              </w:rPr>
              <w:t>(d) action to reduce soil erosion, improvement of soil fertility and improvement of nutrient management as well as maintaining and re-establishing soil biota;</w:t>
            </w:r>
          </w:p>
        </w:tc>
      </w:tr>
      <w:tr w:rsidR="004A6753" w:rsidRPr="001F36C8" w14:paraId="45FEF114" w14:textId="77777777" w:rsidTr="0081007B">
        <w:trPr>
          <w:jc w:val="center"/>
        </w:trPr>
        <w:tc>
          <w:tcPr>
            <w:tcW w:w="4876" w:type="dxa"/>
          </w:tcPr>
          <w:p w14:paraId="64CCDD49" w14:textId="77777777" w:rsidR="004A6753" w:rsidRPr="00EE201B" w:rsidRDefault="004A6753" w:rsidP="0081007B">
            <w:pPr>
              <w:pStyle w:val="Normal6"/>
              <w:rPr>
                <w:lang w:val="en-GB"/>
              </w:rPr>
            </w:pPr>
          </w:p>
        </w:tc>
        <w:tc>
          <w:tcPr>
            <w:tcW w:w="4876" w:type="dxa"/>
          </w:tcPr>
          <w:p w14:paraId="22522FC2" w14:textId="77777777" w:rsidR="004A6753" w:rsidRPr="001F36C8" w:rsidRDefault="00EE201B" w:rsidP="0081007B">
            <w:pPr>
              <w:pStyle w:val="Normal6"/>
              <w:rPr>
                <w:szCs w:val="24"/>
                <w:lang w:val="en-GB"/>
              </w:rPr>
            </w:pPr>
            <w:r w:rsidRPr="006D22F9">
              <w:rPr>
                <w:b/>
                <w:i/>
                <w:lang w:val="en-GB"/>
              </w:rPr>
              <w:t>(e) protection of biodiversity, conservation or restoration of habitats and species, pollinator protection and management of landscape features, including establishment of new landscape features;</w:t>
            </w:r>
          </w:p>
        </w:tc>
      </w:tr>
      <w:tr w:rsidR="004A6753" w:rsidRPr="001F36C8" w14:paraId="34BEF9A8" w14:textId="77777777" w:rsidTr="0081007B">
        <w:trPr>
          <w:jc w:val="center"/>
        </w:trPr>
        <w:tc>
          <w:tcPr>
            <w:tcW w:w="4876" w:type="dxa"/>
          </w:tcPr>
          <w:p w14:paraId="607370AB" w14:textId="77777777" w:rsidR="004A6753" w:rsidRPr="00EE201B" w:rsidRDefault="004A6753" w:rsidP="0081007B">
            <w:pPr>
              <w:pStyle w:val="Normal6"/>
              <w:rPr>
                <w:lang w:val="en-GB"/>
              </w:rPr>
            </w:pPr>
          </w:p>
        </w:tc>
        <w:tc>
          <w:tcPr>
            <w:tcW w:w="4876" w:type="dxa"/>
          </w:tcPr>
          <w:p w14:paraId="47B6393F" w14:textId="77777777" w:rsidR="004A6753" w:rsidRPr="001F36C8" w:rsidRDefault="00EE201B" w:rsidP="0081007B">
            <w:pPr>
              <w:pStyle w:val="Normal6"/>
              <w:rPr>
                <w:szCs w:val="24"/>
                <w:lang w:val="en-GB"/>
              </w:rPr>
            </w:pPr>
            <w:r w:rsidRPr="006D22F9">
              <w:rPr>
                <w:b/>
                <w:i/>
                <w:lang w:val="en-GB"/>
              </w:rPr>
              <w:t>(f) actions for a sustainable and reduced use of pesticides, particularly pesticides that present a risk to human health or biodiversity;</w:t>
            </w:r>
          </w:p>
        </w:tc>
      </w:tr>
      <w:tr w:rsidR="004A6753" w:rsidRPr="001F36C8" w14:paraId="08DA29D0" w14:textId="77777777" w:rsidTr="0081007B">
        <w:trPr>
          <w:jc w:val="center"/>
        </w:trPr>
        <w:tc>
          <w:tcPr>
            <w:tcW w:w="4876" w:type="dxa"/>
          </w:tcPr>
          <w:p w14:paraId="1D7C7EB8" w14:textId="77777777" w:rsidR="004A6753" w:rsidRPr="00EE201B" w:rsidRDefault="004A6753" w:rsidP="0081007B">
            <w:pPr>
              <w:pStyle w:val="Normal6"/>
              <w:rPr>
                <w:lang w:val="en-GB"/>
              </w:rPr>
            </w:pPr>
          </w:p>
        </w:tc>
        <w:tc>
          <w:tcPr>
            <w:tcW w:w="4876" w:type="dxa"/>
          </w:tcPr>
          <w:p w14:paraId="4C1626C5" w14:textId="2312DF76" w:rsidR="004A6753" w:rsidRPr="001F36C8" w:rsidRDefault="00EE201B" w:rsidP="0081007B">
            <w:pPr>
              <w:pStyle w:val="Normal6"/>
              <w:rPr>
                <w:lang w:val="en-GB"/>
              </w:rPr>
            </w:pPr>
            <w:r w:rsidRPr="006D22F9">
              <w:rPr>
                <w:b/>
                <w:i/>
                <w:lang w:val="en-GB"/>
              </w:rPr>
              <w:t>(</w:t>
            </w:r>
            <w:proofErr w:type="gramStart"/>
            <w:r w:rsidRPr="006D22F9">
              <w:rPr>
                <w:b/>
                <w:i/>
                <w:lang w:val="en-GB"/>
              </w:rPr>
              <w:t>g )</w:t>
            </w:r>
            <w:proofErr w:type="gramEnd"/>
            <w:r w:rsidRPr="006D22F9">
              <w:rPr>
                <w:b/>
                <w:i/>
                <w:lang w:val="en-GB"/>
              </w:rPr>
              <w:t xml:space="preserve"> allocation of areas to non-productive features or to </w:t>
            </w:r>
            <w:commentRangeStart w:id="13"/>
            <w:commentRangeStart w:id="14"/>
            <w:r w:rsidRPr="00085D03">
              <w:rPr>
                <w:b/>
                <w:i/>
                <w:highlight w:val="yellow"/>
                <w:lang w:val="en-GB"/>
              </w:rPr>
              <w:t>zones where no pesticides and fertilisers are used</w:t>
            </w:r>
            <w:commentRangeEnd w:id="13"/>
            <w:r w:rsidR="00085D03">
              <w:rPr>
                <w:rStyle w:val="CommentReference"/>
              </w:rPr>
              <w:commentReference w:id="13"/>
            </w:r>
            <w:commentRangeEnd w:id="14"/>
            <w:r>
              <w:rPr>
                <w:rStyle w:val="CommentReference"/>
              </w:rPr>
              <w:commentReference w:id="14"/>
            </w:r>
          </w:p>
        </w:tc>
      </w:tr>
      <w:tr w:rsidR="004A6753" w:rsidRPr="001F36C8" w14:paraId="245254E7" w14:textId="77777777" w:rsidTr="0081007B">
        <w:trPr>
          <w:jc w:val="center"/>
        </w:trPr>
        <w:tc>
          <w:tcPr>
            <w:tcW w:w="4876" w:type="dxa"/>
          </w:tcPr>
          <w:p w14:paraId="3482C6A9" w14:textId="77777777" w:rsidR="004A6753" w:rsidRPr="00EE201B" w:rsidRDefault="004A6753" w:rsidP="0081007B">
            <w:pPr>
              <w:pStyle w:val="Normal6"/>
              <w:rPr>
                <w:lang w:val="en-GB"/>
              </w:rPr>
            </w:pPr>
          </w:p>
        </w:tc>
        <w:tc>
          <w:tcPr>
            <w:tcW w:w="4876" w:type="dxa"/>
          </w:tcPr>
          <w:p w14:paraId="180C20C8" w14:textId="77777777" w:rsidR="004A6753" w:rsidRPr="001F36C8" w:rsidRDefault="00EE201B" w:rsidP="0081007B">
            <w:pPr>
              <w:pStyle w:val="Normal6"/>
              <w:rPr>
                <w:szCs w:val="24"/>
                <w:lang w:val="en-GB"/>
              </w:rPr>
            </w:pPr>
            <w:r w:rsidRPr="006D22F9">
              <w:rPr>
                <w:b/>
                <w:i/>
                <w:lang w:val="en-GB"/>
              </w:rPr>
              <w:t>(h) actions to enhance animal welfare and address antimicrobial resistance</w:t>
            </w:r>
          </w:p>
        </w:tc>
      </w:tr>
      <w:tr w:rsidR="004A6753" w:rsidRPr="001F36C8" w14:paraId="3129EFFD" w14:textId="77777777" w:rsidTr="0081007B">
        <w:trPr>
          <w:jc w:val="center"/>
        </w:trPr>
        <w:tc>
          <w:tcPr>
            <w:tcW w:w="4876" w:type="dxa"/>
          </w:tcPr>
          <w:p w14:paraId="058FD6E5" w14:textId="77777777" w:rsidR="004A6753" w:rsidRPr="00EE201B" w:rsidRDefault="004A6753" w:rsidP="0081007B">
            <w:pPr>
              <w:pStyle w:val="Normal6"/>
              <w:rPr>
                <w:lang w:val="en-GB"/>
              </w:rPr>
            </w:pPr>
          </w:p>
        </w:tc>
        <w:tc>
          <w:tcPr>
            <w:tcW w:w="4876" w:type="dxa"/>
          </w:tcPr>
          <w:p w14:paraId="7A33D2C6" w14:textId="377114E7" w:rsidR="004A6753" w:rsidRPr="001F36C8" w:rsidRDefault="00EE201B" w:rsidP="0081007B">
            <w:pPr>
              <w:pStyle w:val="Normal6"/>
              <w:rPr>
                <w:lang w:val="en-GB"/>
              </w:rPr>
            </w:pPr>
            <w:r w:rsidRPr="006D22F9">
              <w:rPr>
                <w:b/>
                <w:i/>
                <w:lang w:val="en-GB"/>
              </w:rPr>
              <w:t>(</w:t>
            </w:r>
            <w:proofErr w:type="spellStart"/>
            <w:r w:rsidRPr="006D22F9">
              <w:rPr>
                <w:b/>
                <w:i/>
                <w:lang w:val="en-GB"/>
              </w:rPr>
              <w:t>i</w:t>
            </w:r>
            <w:proofErr w:type="spellEnd"/>
            <w:r w:rsidRPr="006D22F9">
              <w:rPr>
                <w:b/>
                <w:i/>
                <w:lang w:val="en-GB"/>
              </w:rPr>
              <w:t xml:space="preserve">) actions to reduce inputs and improve sustainable management of natural resources, </w:t>
            </w:r>
            <w:commentRangeStart w:id="15"/>
            <w:r w:rsidRPr="006D22F9">
              <w:rPr>
                <w:b/>
                <w:i/>
                <w:lang w:val="en-GB"/>
              </w:rPr>
              <w:t>such as precision farming</w:t>
            </w:r>
            <w:commentRangeEnd w:id="15"/>
            <w:r>
              <w:rPr>
                <w:rStyle w:val="CommentReference"/>
              </w:rPr>
              <w:commentReference w:id="15"/>
            </w:r>
          </w:p>
        </w:tc>
      </w:tr>
      <w:tr w:rsidR="004A6753" w:rsidRPr="001F36C8" w14:paraId="6A245387" w14:textId="77777777" w:rsidTr="0081007B">
        <w:trPr>
          <w:jc w:val="center"/>
        </w:trPr>
        <w:tc>
          <w:tcPr>
            <w:tcW w:w="4876" w:type="dxa"/>
          </w:tcPr>
          <w:p w14:paraId="30E892B4" w14:textId="77777777" w:rsidR="004A6753" w:rsidRPr="00EE201B" w:rsidRDefault="004A6753" w:rsidP="0081007B">
            <w:pPr>
              <w:pStyle w:val="Normal6"/>
              <w:rPr>
                <w:lang w:val="en-GB"/>
              </w:rPr>
            </w:pPr>
          </w:p>
        </w:tc>
        <w:tc>
          <w:tcPr>
            <w:tcW w:w="4876" w:type="dxa"/>
          </w:tcPr>
          <w:p w14:paraId="6550DC67" w14:textId="77777777" w:rsidR="004A6753" w:rsidRPr="001F36C8" w:rsidRDefault="00EE201B" w:rsidP="0081007B">
            <w:pPr>
              <w:pStyle w:val="Normal6"/>
              <w:rPr>
                <w:szCs w:val="24"/>
                <w:lang w:val="en-GB"/>
              </w:rPr>
            </w:pPr>
            <w:r w:rsidRPr="006D22F9">
              <w:rPr>
                <w:b/>
                <w:i/>
                <w:lang w:val="en-GB"/>
              </w:rPr>
              <w:t xml:space="preserve">(j) actions to </w:t>
            </w:r>
            <w:commentRangeStart w:id="16"/>
            <w:r w:rsidRPr="00EE3054">
              <w:rPr>
                <w:b/>
                <w:i/>
                <w:highlight w:val="yellow"/>
                <w:lang w:val="en-GB"/>
              </w:rPr>
              <w:t>improve animal and plant diversity</w:t>
            </w:r>
            <w:r w:rsidRPr="006D22F9">
              <w:rPr>
                <w:b/>
                <w:i/>
                <w:lang w:val="en-GB"/>
              </w:rPr>
              <w:t xml:space="preserve"> </w:t>
            </w:r>
            <w:commentRangeEnd w:id="16"/>
            <w:r w:rsidR="00027D7C">
              <w:rPr>
                <w:rStyle w:val="CommentReference"/>
                <w:lang w:val="en-GB"/>
              </w:rPr>
              <w:commentReference w:id="16"/>
            </w:r>
            <w:r w:rsidRPr="006D22F9">
              <w:rPr>
                <w:b/>
                <w:i/>
                <w:lang w:val="en-GB"/>
              </w:rPr>
              <w:t>for stronger resistance to disease and in climate change</w:t>
            </w:r>
          </w:p>
        </w:tc>
      </w:tr>
      <w:tr w:rsidR="004A6753" w:rsidRPr="001F36C8" w14:paraId="645267CE" w14:textId="77777777" w:rsidTr="0081007B">
        <w:trPr>
          <w:jc w:val="center"/>
        </w:trPr>
        <w:tc>
          <w:tcPr>
            <w:tcW w:w="4876" w:type="dxa"/>
          </w:tcPr>
          <w:p w14:paraId="0EA54267" w14:textId="77777777" w:rsidR="004A6753" w:rsidRPr="00EE201B" w:rsidRDefault="004A6753" w:rsidP="0081007B">
            <w:pPr>
              <w:pStyle w:val="Normal6"/>
              <w:rPr>
                <w:lang w:val="en-GB"/>
              </w:rPr>
            </w:pPr>
          </w:p>
        </w:tc>
        <w:tc>
          <w:tcPr>
            <w:tcW w:w="4876" w:type="dxa"/>
          </w:tcPr>
          <w:p w14:paraId="74F13385" w14:textId="77777777" w:rsidR="004A6753" w:rsidRPr="001F36C8" w:rsidRDefault="00EE201B" w:rsidP="0081007B">
            <w:pPr>
              <w:pStyle w:val="Normal6"/>
              <w:rPr>
                <w:szCs w:val="24"/>
                <w:lang w:val="en-GB"/>
              </w:rPr>
            </w:pPr>
            <w:r w:rsidRPr="006D22F9">
              <w:rPr>
                <w:b/>
                <w:i/>
                <w:lang w:val="en-GB"/>
              </w:rPr>
              <w:t>3. The agricultural practices referred to in paragraph 1 of this Article shall:</w:t>
            </w:r>
          </w:p>
        </w:tc>
      </w:tr>
      <w:tr w:rsidR="004A6753" w:rsidRPr="001F36C8" w14:paraId="74AB1A17" w14:textId="77777777" w:rsidTr="0081007B">
        <w:trPr>
          <w:jc w:val="center"/>
        </w:trPr>
        <w:tc>
          <w:tcPr>
            <w:tcW w:w="4876" w:type="dxa"/>
          </w:tcPr>
          <w:p w14:paraId="486538A8" w14:textId="77777777" w:rsidR="004A6753" w:rsidRPr="00EE201B" w:rsidRDefault="004A6753" w:rsidP="0081007B">
            <w:pPr>
              <w:pStyle w:val="Normal6"/>
              <w:rPr>
                <w:lang w:val="en-GB"/>
              </w:rPr>
            </w:pPr>
          </w:p>
        </w:tc>
        <w:tc>
          <w:tcPr>
            <w:tcW w:w="4876" w:type="dxa"/>
          </w:tcPr>
          <w:p w14:paraId="6E3B514E" w14:textId="77777777" w:rsidR="004A6753" w:rsidRPr="001F36C8" w:rsidRDefault="00EE201B" w:rsidP="0081007B">
            <w:pPr>
              <w:pStyle w:val="Normal6"/>
              <w:rPr>
                <w:szCs w:val="24"/>
                <w:lang w:val="en-GB"/>
              </w:rPr>
            </w:pPr>
            <w:r w:rsidRPr="006D22F9">
              <w:rPr>
                <w:b/>
                <w:i/>
                <w:lang w:val="en-GB"/>
              </w:rPr>
              <w:t>(a) go beyond the relevant statutory management requirements and standards of good agricultural and environmental condition established under Section 2 of Chapter I of this Title;</w:t>
            </w:r>
          </w:p>
        </w:tc>
      </w:tr>
      <w:tr w:rsidR="004A6753" w:rsidRPr="001F36C8" w14:paraId="73E97FBA" w14:textId="77777777" w:rsidTr="0081007B">
        <w:trPr>
          <w:jc w:val="center"/>
        </w:trPr>
        <w:tc>
          <w:tcPr>
            <w:tcW w:w="4876" w:type="dxa"/>
          </w:tcPr>
          <w:p w14:paraId="6314CED4" w14:textId="77777777" w:rsidR="004A6753" w:rsidRPr="00EE201B" w:rsidRDefault="004A6753" w:rsidP="0081007B">
            <w:pPr>
              <w:pStyle w:val="Normal6"/>
              <w:rPr>
                <w:lang w:val="en-GB"/>
              </w:rPr>
            </w:pPr>
          </w:p>
        </w:tc>
        <w:tc>
          <w:tcPr>
            <w:tcW w:w="4876" w:type="dxa"/>
          </w:tcPr>
          <w:p w14:paraId="304F7934" w14:textId="77777777" w:rsidR="004A6753" w:rsidRPr="001F36C8" w:rsidRDefault="00EE201B" w:rsidP="0081007B">
            <w:pPr>
              <w:pStyle w:val="Normal6"/>
              <w:rPr>
                <w:lang w:val="en-GB"/>
              </w:rPr>
            </w:pPr>
            <w:r w:rsidRPr="006D22F9">
              <w:rPr>
                <w:b/>
                <w:i/>
                <w:lang w:val="en-GB"/>
              </w:rPr>
              <w:t xml:space="preserve">(b) go beyond the minimum requirements for animal welfare and the use of fertilisers and plant protection products as well as other </w:t>
            </w:r>
            <w:r w:rsidRPr="001F4FF7">
              <w:rPr>
                <w:b/>
                <w:i/>
                <w:color w:val="FF0000"/>
                <w:lang w:val="en-GB"/>
              </w:rPr>
              <w:t xml:space="preserve">mandatory requirements established </w:t>
            </w:r>
            <w:commentRangeStart w:id="17"/>
            <w:commentRangeStart w:id="18"/>
            <w:r w:rsidRPr="001F4FF7">
              <w:rPr>
                <w:b/>
                <w:i/>
                <w:color w:val="FF0000"/>
                <w:lang w:val="en-GB"/>
              </w:rPr>
              <w:t>by Union law</w:t>
            </w:r>
            <w:commentRangeEnd w:id="17"/>
            <w:r w:rsidR="000865AA">
              <w:rPr>
                <w:rStyle w:val="CommentReference"/>
              </w:rPr>
              <w:commentReference w:id="17"/>
            </w:r>
            <w:commentRangeEnd w:id="18"/>
            <w:r>
              <w:rPr>
                <w:rStyle w:val="CommentReference"/>
              </w:rPr>
              <w:commentReference w:id="18"/>
            </w:r>
            <w:r w:rsidRPr="006D22F9">
              <w:rPr>
                <w:b/>
                <w:i/>
                <w:lang w:val="en-GB"/>
              </w:rPr>
              <w:t>;</w:t>
            </w:r>
          </w:p>
        </w:tc>
      </w:tr>
      <w:tr w:rsidR="004A6753" w:rsidRPr="001F36C8" w14:paraId="1A8A7DC4" w14:textId="77777777" w:rsidTr="0081007B">
        <w:trPr>
          <w:jc w:val="center"/>
        </w:trPr>
        <w:tc>
          <w:tcPr>
            <w:tcW w:w="4876" w:type="dxa"/>
          </w:tcPr>
          <w:p w14:paraId="5FD5F97B" w14:textId="77777777" w:rsidR="004A6753" w:rsidRPr="00EE201B" w:rsidRDefault="004A6753" w:rsidP="0081007B">
            <w:pPr>
              <w:pStyle w:val="Normal6"/>
              <w:rPr>
                <w:lang w:val="en-GB"/>
              </w:rPr>
            </w:pPr>
          </w:p>
        </w:tc>
        <w:tc>
          <w:tcPr>
            <w:tcW w:w="4876" w:type="dxa"/>
          </w:tcPr>
          <w:p w14:paraId="2ED0C7B7" w14:textId="77777777" w:rsidR="004A6753" w:rsidRPr="001F36C8" w:rsidRDefault="00EE201B" w:rsidP="0081007B">
            <w:pPr>
              <w:pStyle w:val="Normal6"/>
              <w:rPr>
                <w:szCs w:val="24"/>
                <w:lang w:val="en-GB"/>
              </w:rPr>
            </w:pPr>
            <w:r w:rsidRPr="006D22F9">
              <w:rPr>
                <w:b/>
                <w:i/>
                <w:lang w:val="en-GB"/>
              </w:rPr>
              <w:t>(c) go beyond the conditions established for the maintenance of the agricultural area in accordance with point (a) of Article 4(1);</w:t>
            </w:r>
          </w:p>
        </w:tc>
      </w:tr>
      <w:tr w:rsidR="004A6753" w:rsidRPr="001F36C8" w14:paraId="5E325D47" w14:textId="77777777" w:rsidTr="0081007B">
        <w:trPr>
          <w:jc w:val="center"/>
        </w:trPr>
        <w:tc>
          <w:tcPr>
            <w:tcW w:w="4876" w:type="dxa"/>
          </w:tcPr>
          <w:p w14:paraId="4E078A37" w14:textId="77777777" w:rsidR="004A6753" w:rsidRPr="00EE201B" w:rsidRDefault="004A6753" w:rsidP="0081007B">
            <w:pPr>
              <w:pStyle w:val="Normal6"/>
              <w:rPr>
                <w:lang w:val="en-GB"/>
              </w:rPr>
            </w:pPr>
          </w:p>
        </w:tc>
        <w:tc>
          <w:tcPr>
            <w:tcW w:w="4876" w:type="dxa"/>
          </w:tcPr>
          <w:p w14:paraId="124E3ACC" w14:textId="77777777" w:rsidR="004A6753" w:rsidRPr="001F36C8" w:rsidRDefault="00EE201B" w:rsidP="0081007B">
            <w:pPr>
              <w:pStyle w:val="Normal6"/>
              <w:rPr>
                <w:szCs w:val="24"/>
                <w:lang w:val="en-GB"/>
              </w:rPr>
            </w:pPr>
            <w:r w:rsidRPr="006D22F9">
              <w:rPr>
                <w:b/>
                <w:i/>
                <w:lang w:val="en-GB"/>
              </w:rPr>
              <w:t>(d) be different from, or complementary to, commitments in respect of which payments are granted under Article 65;</w:t>
            </w:r>
          </w:p>
        </w:tc>
      </w:tr>
      <w:tr w:rsidR="004A6753" w:rsidRPr="001F36C8" w14:paraId="34DFF0F1" w14:textId="77777777" w:rsidTr="0081007B">
        <w:trPr>
          <w:jc w:val="center"/>
        </w:trPr>
        <w:tc>
          <w:tcPr>
            <w:tcW w:w="4876" w:type="dxa"/>
          </w:tcPr>
          <w:p w14:paraId="4D315D56" w14:textId="77777777" w:rsidR="004A6753" w:rsidRPr="00EE201B" w:rsidRDefault="004A6753" w:rsidP="0081007B">
            <w:pPr>
              <w:pStyle w:val="Normal6"/>
              <w:rPr>
                <w:lang w:val="en-GB"/>
              </w:rPr>
            </w:pPr>
          </w:p>
        </w:tc>
        <w:tc>
          <w:tcPr>
            <w:tcW w:w="4876" w:type="dxa"/>
          </w:tcPr>
          <w:p w14:paraId="79D67F56" w14:textId="1FE23991" w:rsidR="004A6753" w:rsidRPr="001F36C8" w:rsidRDefault="00EE201B" w:rsidP="0081007B">
            <w:pPr>
              <w:pStyle w:val="Normal6"/>
              <w:rPr>
                <w:szCs w:val="24"/>
                <w:lang w:val="en-GB"/>
              </w:rPr>
            </w:pPr>
            <w:r w:rsidRPr="006D22F9">
              <w:rPr>
                <w:b/>
                <w:i/>
                <w:lang w:val="en-GB"/>
              </w:rPr>
              <w:t xml:space="preserve">(4) The Commission shall, by ... [two months after the date of entry into force of this Regulation], </w:t>
            </w:r>
            <w:r w:rsidRPr="00160140">
              <w:rPr>
                <w:b/>
                <w:i/>
                <w:highlight w:val="yellow"/>
                <w:lang w:val="en-GB"/>
              </w:rPr>
              <w:t>adopt delegated acts in accordance with Article 138, supplementing</w:t>
            </w:r>
            <w:r w:rsidR="00160140" w:rsidRPr="00027D7C">
              <w:rPr>
                <w:b/>
                <w:i/>
                <w:highlight w:val="yellow"/>
                <w:lang w:val="en-US"/>
              </w:rPr>
              <w:t xml:space="preserve"> </w:t>
            </w:r>
            <w:r w:rsidRPr="00160140">
              <w:rPr>
                <w:b/>
                <w:i/>
                <w:highlight w:val="yellow"/>
                <w:lang w:val="en-GB"/>
              </w:rPr>
              <w:t>this Regulation by establishing an indicative and non-exhaustive list of examples of types of practices</w:t>
            </w:r>
            <w:r w:rsidRPr="006D22F9">
              <w:rPr>
                <w:b/>
                <w:i/>
                <w:lang w:val="en-GB"/>
              </w:rPr>
              <w:t xml:space="preserve"> complying with paragraphs 1, 2 and 3 of this Article.</w:t>
            </w:r>
          </w:p>
        </w:tc>
      </w:tr>
    </w:tbl>
    <w:p w14:paraId="0E2B1A35"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26990FC3" w14:textId="77777777" w:rsidR="004A6753" w:rsidRPr="001F36C8" w:rsidRDefault="004A6753" w:rsidP="004A6753">
      <w:r w:rsidRPr="001F36C8">
        <w:rPr>
          <w:rStyle w:val="HideTWBExt"/>
        </w:rPr>
        <w:t>&lt;/Amend&gt;</w:t>
      </w:r>
    </w:p>
    <w:p w14:paraId="58FE81A2"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006D22F9">
        <w:rPr>
          <w:lang w:val="en-GB"/>
        </w:rPr>
        <w:t>6</w:t>
      </w:r>
      <w:r w:rsidRPr="001F36C8">
        <w:rPr>
          <w:rStyle w:val="HideTWBExt"/>
          <w:b w:val="0"/>
          <w:lang w:val="en-GB"/>
        </w:rPr>
        <w:t>&lt;NumAm&gt;&lt;/NumAm&gt;</w:t>
      </w:r>
    </w:p>
    <w:p w14:paraId="36BFFCDE"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7E54A264" w14:textId="77777777" w:rsidR="004A6753" w:rsidRPr="00ED66A2" w:rsidRDefault="004A6753" w:rsidP="004A6753">
      <w:r w:rsidRPr="007E6396">
        <w:rPr>
          <w:rStyle w:val="HideTWBExt"/>
        </w:rPr>
        <w:t>&lt;/RepeatBlock-By&gt;</w:t>
      </w:r>
    </w:p>
    <w:p w14:paraId="0FE6DD0D"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26BB05FA"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28 c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2ADDC1AE" w14:textId="77777777" w:rsidTr="0081007B">
        <w:trPr>
          <w:jc w:val="center"/>
        </w:trPr>
        <w:tc>
          <w:tcPr>
            <w:tcW w:w="9752" w:type="dxa"/>
            <w:gridSpan w:val="2"/>
          </w:tcPr>
          <w:p w14:paraId="6FE121E2" w14:textId="77777777" w:rsidR="004A6753" w:rsidRPr="001F36C8" w:rsidRDefault="004A6753" w:rsidP="0081007B">
            <w:pPr>
              <w:keepNext/>
            </w:pPr>
          </w:p>
        </w:tc>
      </w:tr>
      <w:tr w:rsidR="004A6753" w:rsidRPr="001F36C8" w14:paraId="6F74B8AA" w14:textId="77777777" w:rsidTr="0081007B">
        <w:trPr>
          <w:jc w:val="center"/>
        </w:trPr>
        <w:tc>
          <w:tcPr>
            <w:tcW w:w="4876" w:type="dxa"/>
          </w:tcPr>
          <w:p w14:paraId="185BFD51"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1C11BC62" w14:textId="77777777" w:rsidR="004A6753" w:rsidRPr="001F36C8" w:rsidRDefault="004A6753" w:rsidP="0081007B">
            <w:pPr>
              <w:pStyle w:val="ColumnHeading"/>
              <w:keepNext/>
              <w:rPr>
                <w:lang w:val="en-GB"/>
              </w:rPr>
            </w:pPr>
            <w:r w:rsidRPr="001F36C8">
              <w:rPr>
                <w:lang w:val="en-GB"/>
              </w:rPr>
              <w:t>Amendment</w:t>
            </w:r>
          </w:p>
        </w:tc>
      </w:tr>
      <w:tr w:rsidR="004A6753" w:rsidRPr="001F36C8" w14:paraId="0FE620C4" w14:textId="77777777" w:rsidTr="0081007B">
        <w:trPr>
          <w:jc w:val="center"/>
        </w:trPr>
        <w:tc>
          <w:tcPr>
            <w:tcW w:w="4876" w:type="dxa"/>
          </w:tcPr>
          <w:p w14:paraId="6BDD5362" w14:textId="77777777" w:rsidR="004A6753" w:rsidRPr="00EE201B" w:rsidRDefault="004A6753" w:rsidP="0081007B">
            <w:pPr>
              <w:pStyle w:val="Normal6"/>
              <w:rPr>
                <w:lang w:val="en-GB"/>
              </w:rPr>
            </w:pPr>
          </w:p>
        </w:tc>
        <w:tc>
          <w:tcPr>
            <w:tcW w:w="4876" w:type="dxa"/>
          </w:tcPr>
          <w:p w14:paraId="24D4B9BC" w14:textId="77777777" w:rsidR="004A6753" w:rsidRPr="001F36C8" w:rsidRDefault="00EE201B" w:rsidP="0081007B">
            <w:pPr>
              <w:pStyle w:val="Normal6"/>
              <w:jc w:val="center"/>
              <w:rPr>
                <w:szCs w:val="24"/>
                <w:lang w:val="en-GB"/>
              </w:rPr>
            </w:pPr>
            <w:r w:rsidRPr="00EE201B">
              <w:rPr>
                <w:b/>
                <w:i/>
                <w:lang w:val="en-GB"/>
              </w:rPr>
              <w:t>Article 28 c</w:t>
            </w:r>
          </w:p>
        </w:tc>
      </w:tr>
      <w:tr w:rsidR="004A6753" w:rsidRPr="001F36C8" w14:paraId="5CCA73E9" w14:textId="77777777" w:rsidTr="0081007B">
        <w:trPr>
          <w:jc w:val="center"/>
        </w:trPr>
        <w:tc>
          <w:tcPr>
            <w:tcW w:w="4876" w:type="dxa"/>
          </w:tcPr>
          <w:p w14:paraId="0A83ACEA" w14:textId="77777777" w:rsidR="004A6753" w:rsidRPr="00EE201B" w:rsidRDefault="004A6753" w:rsidP="0081007B">
            <w:pPr>
              <w:pStyle w:val="Normal6"/>
              <w:rPr>
                <w:lang w:val="en-GB"/>
              </w:rPr>
            </w:pPr>
          </w:p>
        </w:tc>
        <w:tc>
          <w:tcPr>
            <w:tcW w:w="4876" w:type="dxa"/>
          </w:tcPr>
          <w:p w14:paraId="788D38D6" w14:textId="77777777" w:rsidR="004A6753" w:rsidRPr="001F36C8" w:rsidRDefault="00EE201B" w:rsidP="0081007B">
            <w:pPr>
              <w:pStyle w:val="Normal6"/>
              <w:jc w:val="center"/>
              <w:rPr>
                <w:szCs w:val="24"/>
                <w:lang w:val="en-GB"/>
              </w:rPr>
            </w:pPr>
            <w:r w:rsidRPr="006D22F9">
              <w:rPr>
                <w:b/>
                <w:i/>
                <w:lang w:val="en-GB"/>
              </w:rPr>
              <w:t>National lists of practices eligible for schemes for the climate, environment and animal welfare</w:t>
            </w:r>
          </w:p>
        </w:tc>
      </w:tr>
      <w:tr w:rsidR="004A6753" w:rsidRPr="001F36C8" w14:paraId="2A02084C" w14:textId="77777777" w:rsidTr="0081007B">
        <w:trPr>
          <w:jc w:val="center"/>
        </w:trPr>
        <w:tc>
          <w:tcPr>
            <w:tcW w:w="4876" w:type="dxa"/>
          </w:tcPr>
          <w:p w14:paraId="5DCD8962" w14:textId="77777777" w:rsidR="004A6753" w:rsidRPr="00EE201B" w:rsidRDefault="004A6753" w:rsidP="0081007B">
            <w:pPr>
              <w:pStyle w:val="Normal6"/>
              <w:rPr>
                <w:lang w:val="en-GB"/>
              </w:rPr>
            </w:pPr>
          </w:p>
        </w:tc>
        <w:tc>
          <w:tcPr>
            <w:tcW w:w="4876" w:type="dxa"/>
          </w:tcPr>
          <w:p w14:paraId="311C6957" w14:textId="77777777" w:rsidR="004A6753" w:rsidRPr="001F36C8" w:rsidRDefault="00EE201B" w:rsidP="0081007B">
            <w:pPr>
              <w:pStyle w:val="Normal6"/>
              <w:rPr>
                <w:szCs w:val="24"/>
                <w:lang w:val="en-GB"/>
              </w:rPr>
            </w:pPr>
            <w:r w:rsidRPr="006D22F9">
              <w:rPr>
                <w:b/>
                <w:i/>
                <w:lang w:val="en-GB"/>
              </w:rPr>
              <w:t>Member States shall establish, in cooperation with national, regional and local stakeholders, the national lists of practices eligible for the schemes for the climate, environment and animal welfare referred to in Article 28, with the possibility to draw from the examples in the indicative and non-exhaustive list referred to Article 28b or establishing further practices that comply with the conditions in Article 28b, and taking into account their specific national or regional needs in accordance with Article 96.</w:t>
            </w:r>
          </w:p>
        </w:tc>
      </w:tr>
      <w:tr w:rsidR="004A6753" w:rsidRPr="001F36C8" w14:paraId="062DD56D" w14:textId="77777777" w:rsidTr="0081007B">
        <w:trPr>
          <w:jc w:val="center"/>
        </w:trPr>
        <w:tc>
          <w:tcPr>
            <w:tcW w:w="4876" w:type="dxa"/>
          </w:tcPr>
          <w:p w14:paraId="2B050F59" w14:textId="77777777" w:rsidR="004A6753" w:rsidRPr="00EE201B" w:rsidRDefault="004A6753" w:rsidP="0081007B">
            <w:pPr>
              <w:pStyle w:val="Normal6"/>
              <w:rPr>
                <w:lang w:val="en-GB"/>
              </w:rPr>
            </w:pPr>
          </w:p>
        </w:tc>
        <w:tc>
          <w:tcPr>
            <w:tcW w:w="4876" w:type="dxa"/>
          </w:tcPr>
          <w:p w14:paraId="7C2A8499" w14:textId="77777777" w:rsidR="004A6753" w:rsidRPr="001F36C8" w:rsidRDefault="00EE201B" w:rsidP="0081007B">
            <w:pPr>
              <w:pStyle w:val="Normal6"/>
              <w:rPr>
                <w:szCs w:val="24"/>
                <w:lang w:val="en-GB"/>
              </w:rPr>
            </w:pPr>
            <w:r w:rsidRPr="006D22F9">
              <w:rPr>
                <w:b/>
                <w:i/>
                <w:lang w:val="en-GB"/>
              </w:rPr>
              <w:t>The national lists shall consist of multiple types of measures other than those covered under Article 65, or of measures of the same nature but with a different level of ambition in accordance with Article 28.</w:t>
            </w:r>
          </w:p>
        </w:tc>
      </w:tr>
      <w:tr w:rsidR="004A6753" w:rsidRPr="001F36C8" w14:paraId="0E7FCEDB" w14:textId="77777777" w:rsidTr="0081007B">
        <w:trPr>
          <w:jc w:val="center"/>
        </w:trPr>
        <w:tc>
          <w:tcPr>
            <w:tcW w:w="4876" w:type="dxa"/>
          </w:tcPr>
          <w:p w14:paraId="2761632F" w14:textId="77777777" w:rsidR="004A6753" w:rsidRPr="00EE201B" w:rsidRDefault="004A6753" w:rsidP="0081007B">
            <w:pPr>
              <w:pStyle w:val="Normal6"/>
              <w:rPr>
                <w:lang w:val="en-GB"/>
              </w:rPr>
            </w:pPr>
          </w:p>
        </w:tc>
        <w:tc>
          <w:tcPr>
            <w:tcW w:w="4876" w:type="dxa"/>
          </w:tcPr>
          <w:p w14:paraId="5E26B878" w14:textId="77777777" w:rsidR="004A6753" w:rsidRPr="001F36C8" w:rsidRDefault="00EE201B" w:rsidP="0081007B">
            <w:pPr>
              <w:pStyle w:val="Normal6"/>
              <w:rPr>
                <w:szCs w:val="24"/>
                <w:lang w:val="en-GB"/>
              </w:rPr>
            </w:pPr>
            <w:commentRangeStart w:id="19"/>
            <w:r w:rsidRPr="00F72999">
              <w:rPr>
                <w:b/>
                <w:i/>
                <w:color w:val="FF0000"/>
                <w:lang w:val="en-GB"/>
              </w:rPr>
              <w:t xml:space="preserve">Member States shall, at least, include in those lists eco-schemes to set up </w:t>
            </w:r>
            <w:proofErr w:type="gramStart"/>
            <w:r w:rsidRPr="00F72999">
              <w:rPr>
                <w:b/>
                <w:i/>
                <w:color w:val="FF0000"/>
                <w:lang w:val="en-GB"/>
              </w:rPr>
              <w:t>a the</w:t>
            </w:r>
            <w:proofErr w:type="gramEnd"/>
            <w:r w:rsidRPr="00F72999">
              <w:rPr>
                <w:b/>
                <w:i/>
                <w:color w:val="FF0000"/>
                <w:lang w:val="en-GB"/>
              </w:rPr>
              <w:t xml:space="preserve"> use of a farm tool for the sustainable management of nutrients, and, where applicable, appropriate maintenance of wetland and peatland.</w:t>
            </w:r>
            <w:commentRangeEnd w:id="19"/>
            <w:r w:rsidR="00145ACD" w:rsidRPr="00F72999">
              <w:rPr>
                <w:rStyle w:val="CommentReference"/>
                <w:color w:val="FF0000"/>
                <w:lang w:val="en-GB"/>
              </w:rPr>
              <w:commentReference w:id="19"/>
            </w:r>
          </w:p>
        </w:tc>
      </w:tr>
      <w:tr w:rsidR="004A6753" w:rsidRPr="001F36C8" w14:paraId="439B1134" w14:textId="77777777" w:rsidTr="0081007B">
        <w:trPr>
          <w:jc w:val="center"/>
        </w:trPr>
        <w:tc>
          <w:tcPr>
            <w:tcW w:w="4876" w:type="dxa"/>
          </w:tcPr>
          <w:p w14:paraId="582F5351" w14:textId="77777777" w:rsidR="004A6753" w:rsidRPr="00EE201B" w:rsidRDefault="004A6753" w:rsidP="0081007B">
            <w:pPr>
              <w:pStyle w:val="Normal6"/>
              <w:rPr>
                <w:lang w:val="en-GB"/>
              </w:rPr>
            </w:pPr>
          </w:p>
        </w:tc>
        <w:tc>
          <w:tcPr>
            <w:tcW w:w="4876" w:type="dxa"/>
          </w:tcPr>
          <w:p w14:paraId="2A9C2743" w14:textId="77777777" w:rsidR="004A6753" w:rsidRPr="001F36C8" w:rsidRDefault="00EE201B" w:rsidP="0081007B">
            <w:pPr>
              <w:pStyle w:val="Normal6"/>
              <w:rPr>
                <w:lang w:val="en-GB"/>
              </w:rPr>
            </w:pPr>
            <w:commentRangeStart w:id="20"/>
            <w:commentRangeStart w:id="21"/>
            <w:r w:rsidRPr="00F72999">
              <w:rPr>
                <w:b/>
                <w:i/>
                <w:color w:val="FF0000"/>
                <w:lang w:val="en-GB"/>
              </w:rPr>
              <w:t>Areas designated pursuant to Directives 92/43/EEC or2009/147/EC where equivalent actions are being carried out shall automatically be regarded as eligible for the scheme</w:t>
            </w:r>
            <w:r w:rsidRPr="006D22F9">
              <w:rPr>
                <w:b/>
                <w:i/>
                <w:lang w:val="en-GB"/>
              </w:rPr>
              <w:t>.</w:t>
            </w:r>
            <w:commentRangeEnd w:id="20"/>
            <w:r w:rsidR="00F72999">
              <w:rPr>
                <w:rStyle w:val="CommentReference"/>
              </w:rPr>
              <w:commentReference w:id="20"/>
            </w:r>
            <w:commentRangeEnd w:id="21"/>
            <w:r>
              <w:rPr>
                <w:rStyle w:val="CommentReference"/>
              </w:rPr>
              <w:commentReference w:id="21"/>
            </w:r>
          </w:p>
        </w:tc>
      </w:tr>
      <w:tr w:rsidR="004A6753" w:rsidRPr="001F36C8" w14:paraId="5006ECF9" w14:textId="77777777" w:rsidTr="0081007B">
        <w:trPr>
          <w:jc w:val="center"/>
        </w:trPr>
        <w:tc>
          <w:tcPr>
            <w:tcW w:w="4876" w:type="dxa"/>
          </w:tcPr>
          <w:p w14:paraId="2EEFC5E4" w14:textId="77777777" w:rsidR="004A6753" w:rsidRPr="00EE201B" w:rsidRDefault="004A6753" w:rsidP="0081007B">
            <w:pPr>
              <w:pStyle w:val="Normal6"/>
              <w:rPr>
                <w:lang w:val="en-GB"/>
              </w:rPr>
            </w:pPr>
          </w:p>
        </w:tc>
        <w:tc>
          <w:tcPr>
            <w:tcW w:w="4876" w:type="dxa"/>
          </w:tcPr>
          <w:p w14:paraId="3F87990A" w14:textId="77777777" w:rsidR="004A6753" w:rsidRPr="001F36C8" w:rsidRDefault="00EE201B" w:rsidP="0081007B">
            <w:pPr>
              <w:pStyle w:val="Normal6"/>
              <w:rPr>
                <w:szCs w:val="24"/>
                <w:lang w:val="en-GB"/>
              </w:rPr>
            </w:pPr>
            <w:r w:rsidRPr="006D22F9">
              <w:rPr>
                <w:b/>
                <w:i/>
                <w:lang w:val="en-GB"/>
              </w:rPr>
              <w:t>The national lists shall be approved by the Commission in accordance with the procedure set out in Articles 106 and 107.</w:t>
            </w:r>
          </w:p>
        </w:tc>
      </w:tr>
      <w:tr w:rsidR="004A6753" w:rsidRPr="001F36C8" w14:paraId="486327E8" w14:textId="77777777" w:rsidTr="0081007B">
        <w:trPr>
          <w:jc w:val="center"/>
        </w:trPr>
        <w:tc>
          <w:tcPr>
            <w:tcW w:w="4876" w:type="dxa"/>
          </w:tcPr>
          <w:p w14:paraId="34BDEC37" w14:textId="77777777" w:rsidR="004A6753" w:rsidRPr="00EE201B" w:rsidRDefault="004A6753" w:rsidP="0081007B">
            <w:pPr>
              <w:pStyle w:val="Normal6"/>
              <w:rPr>
                <w:lang w:val="en-GB"/>
              </w:rPr>
            </w:pPr>
          </w:p>
        </w:tc>
        <w:tc>
          <w:tcPr>
            <w:tcW w:w="4876" w:type="dxa"/>
          </w:tcPr>
          <w:p w14:paraId="751BD910" w14:textId="77777777" w:rsidR="004A6753" w:rsidRPr="001F36C8" w:rsidRDefault="00EE201B" w:rsidP="0081007B">
            <w:pPr>
              <w:pStyle w:val="Normal6"/>
              <w:rPr>
                <w:szCs w:val="24"/>
                <w:lang w:val="en-GB"/>
              </w:rPr>
            </w:pPr>
            <w:r w:rsidRPr="006D22F9">
              <w:rPr>
                <w:b/>
                <w:i/>
                <w:lang w:val="en-GB"/>
              </w:rPr>
              <w:t xml:space="preserve">The Commission shall provide the necessary guidance to the Member States when devising the national lists, in coordination with the European and national Common Agricultural Policy Networks provided for </w:t>
            </w:r>
            <w:proofErr w:type="spellStart"/>
            <w:r w:rsidRPr="006D22F9">
              <w:rPr>
                <w:b/>
                <w:i/>
                <w:lang w:val="en-GB"/>
              </w:rPr>
              <w:t>inArticle</w:t>
            </w:r>
            <w:proofErr w:type="spellEnd"/>
            <w:r w:rsidRPr="006D22F9">
              <w:rPr>
                <w:b/>
                <w:i/>
                <w:lang w:val="en-GB"/>
              </w:rPr>
              <w:t xml:space="preserve"> 113, to facilitate the exchange of best practices and to improve the knowledge base and find solutions.</w:t>
            </w:r>
          </w:p>
        </w:tc>
      </w:tr>
      <w:tr w:rsidR="004A6753" w:rsidRPr="001F36C8" w14:paraId="51809EF9" w14:textId="77777777" w:rsidTr="0081007B">
        <w:trPr>
          <w:jc w:val="center"/>
        </w:trPr>
        <w:tc>
          <w:tcPr>
            <w:tcW w:w="4876" w:type="dxa"/>
          </w:tcPr>
          <w:p w14:paraId="1EFEDB1B" w14:textId="77777777" w:rsidR="004A6753" w:rsidRPr="00EE201B" w:rsidRDefault="004A6753" w:rsidP="0081007B">
            <w:pPr>
              <w:pStyle w:val="Normal6"/>
              <w:rPr>
                <w:lang w:val="en-GB"/>
              </w:rPr>
            </w:pPr>
          </w:p>
        </w:tc>
        <w:tc>
          <w:tcPr>
            <w:tcW w:w="4876" w:type="dxa"/>
          </w:tcPr>
          <w:p w14:paraId="32285CE6" w14:textId="77777777" w:rsidR="004A6753" w:rsidRPr="001F36C8" w:rsidRDefault="00EE201B" w:rsidP="0081007B">
            <w:pPr>
              <w:pStyle w:val="Normal6"/>
              <w:rPr>
                <w:szCs w:val="24"/>
                <w:lang w:val="en-GB"/>
              </w:rPr>
            </w:pPr>
            <w:r w:rsidRPr="006D22F9">
              <w:rPr>
                <w:b/>
                <w:i/>
                <w:lang w:val="en-GB"/>
              </w:rPr>
              <w:t>When assessing the national lists, the Commission shall in particular take into account the design, the likely effectiveness, uptake, existence of alternatives and contribution of the schemes to the specific objectives referred to in paragraph 28a.</w:t>
            </w:r>
          </w:p>
        </w:tc>
      </w:tr>
      <w:tr w:rsidR="004A6753" w:rsidRPr="001F36C8" w14:paraId="1CDFA441" w14:textId="77777777" w:rsidTr="0081007B">
        <w:trPr>
          <w:jc w:val="center"/>
        </w:trPr>
        <w:tc>
          <w:tcPr>
            <w:tcW w:w="4876" w:type="dxa"/>
          </w:tcPr>
          <w:p w14:paraId="4E5F91DE" w14:textId="77777777" w:rsidR="004A6753" w:rsidRPr="00EE201B" w:rsidRDefault="004A6753" w:rsidP="0081007B">
            <w:pPr>
              <w:pStyle w:val="Normal6"/>
              <w:rPr>
                <w:lang w:val="en-GB"/>
              </w:rPr>
            </w:pPr>
          </w:p>
        </w:tc>
        <w:tc>
          <w:tcPr>
            <w:tcW w:w="4876" w:type="dxa"/>
          </w:tcPr>
          <w:p w14:paraId="436BE291" w14:textId="77777777" w:rsidR="004A6753" w:rsidRPr="001F36C8" w:rsidRDefault="00EE201B" w:rsidP="0081007B">
            <w:pPr>
              <w:pStyle w:val="Normal6"/>
              <w:rPr>
                <w:lang w:val="en-GB"/>
              </w:rPr>
            </w:pPr>
            <w:r w:rsidRPr="13CC6356">
              <w:rPr>
                <w:b/>
                <w:i/>
                <w:lang w:val="en-GB"/>
              </w:rPr>
              <w:t xml:space="preserve">The Commission shall assess the national lists every two years. The assessments shall be made publicly available and, in the event of inadequacy or negative assessments, the Member States shall propose amended national lists </w:t>
            </w:r>
            <w:r w:rsidRPr="006D22F9">
              <w:rPr>
                <w:b/>
                <w:i/>
                <w:lang w:val="en-GB"/>
              </w:rPr>
              <w:t>and schemes in accordance with the procedure set out in Articles 106 and 107.</w:t>
            </w:r>
          </w:p>
        </w:tc>
      </w:tr>
    </w:tbl>
    <w:p w14:paraId="4AAD0158" w14:textId="77777777" w:rsidR="004A6753" w:rsidRPr="00480788" w:rsidRDefault="004A6753" w:rsidP="004A6753">
      <w:pPr>
        <w:pStyle w:val="Olang0000000000000000"/>
        <w:rPr>
          <w:sz w:val="24"/>
          <w:szCs w:val="24"/>
          <w:lang w:val="fr-FR"/>
        </w:rPr>
      </w:pPr>
      <w:r w:rsidRPr="00480788">
        <w:rPr>
          <w:sz w:val="24"/>
          <w:szCs w:val="24"/>
          <w:lang w:val="fr-FR"/>
        </w:rPr>
        <w:t xml:space="preserve">Or. </w:t>
      </w:r>
      <w:r w:rsidRPr="00480788">
        <w:rPr>
          <w:rStyle w:val="HideTWBExt"/>
          <w:noProof w:val="0"/>
          <w:lang w:val="fr-FR"/>
        </w:rPr>
        <w:t>&lt;Original&gt;</w:t>
      </w:r>
      <w:r w:rsidR="00EE201B" w:rsidRPr="00480788">
        <w:rPr>
          <w:rStyle w:val="HideTWBInt"/>
          <w:sz w:val="24"/>
          <w:szCs w:val="24"/>
          <w:lang w:val="fr-FR"/>
        </w:rPr>
        <w:t>{EN}</w:t>
      </w:r>
      <w:proofErr w:type="gramStart"/>
      <w:r w:rsidR="00EE201B" w:rsidRPr="00480788">
        <w:rPr>
          <w:sz w:val="24"/>
          <w:szCs w:val="24"/>
          <w:lang w:val="fr-FR"/>
        </w:rPr>
        <w:t>en</w:t>
      </w:r>
      <w:proofErr w:type="gramEnd"/>
      <w:r w:rsidRPr="00480788">
        <w:rPr>
          <w:rStyle w:val="HideTWBExt"/>
          <w:noProof w:val="0"/>
          <w:lang w:val="fr-FR"/>
        </w:rPr>
        <w:t>&lt;/Original&gt;</w:t>
      </w:r>
    </w:p>
    <w:p w14:paraId="6A195B7E" w14:textId="77777777" w:rsidR="004A6753" w:rsidRPr="00480788" w:rsidRDefault="004A6753" w:rsidP="004A6753">
      <w:pPr>
        <w:rPr>
          <w:lang w:val="fr-FR"/>
        </w:rPr>
      </w:pPr>
      <w:r w:rsidRPr="00480788">
        <w:rPr>
          <w:rStyle w:val="HideTWBExt"/>
          <w:lang w:val="fr-FR"/>
        </w:rPr>
        <w:t>&lt;/Amend&gt;</w:t>
      </w:r>
    </w:p>
    <w:p w14:paraId="69D7D866" w14:textId="77777777" w:rsidR="004A6753" w:rsidRPr="00480788" w:rsidRDefault="004A6753" w:rsidP="004A6753">
      <w:pPr>
        <w:pStyle w:val="Olang0000000000000000"/>
        <w:rPr>
          <w:sz w:val="24"/>
          <w:szCs w:val="24"/>
          <w:lang w:val="fr-FR"/>
        </w:rPr>
      </w:pPr>
      <w:r w:rsidRPr="00480788">
        <w:rPr>
          <w:sz w:val="24"/>
          <w:szCs w:val="24"/>
          <w:lang w:val="fr-FR"/>
        </w:rPr>
        <w:t xml:space="preserve">. </w:t>
      </w:r>
      <w:r w:rsidRPr="00480788">
        <w:rPr>
          <w:rStyle w:val="HideTWBExt"/>
          <w:noProof w:val="0"/>
          <w:lang w:val="fr-FR"/>
        </w:rPr>
        <w:t>&lt;Original&gt;</w:t>
      </w:r>
      <w:r w:rsidR="00EE201B" w:rsidRPr="00480788">
        <w:rPr>
          <w:rStyle w:val="HideTWBInt"/>
          <w:sz w:val="24"/>
          <w:szCs w:val="24"/>
          <w:lang w:val="fr-FR"/>
        </w:rPr>
        <w:t>{EN}</w:t>
      </w:r>
      <w:proofErr w:type="gramStart"/>
      <w:r w:rsidR="00EE201B" w:rsidRPr="00480788">
        <w:rPr>
          <w:sz w:val="24"/>
          <w:szCs w:val="24"/>
          <w:lang w:val="fr-FR"/>
        </w:rPr>
        <w:t>en</w:t>
      </w:r>
      <w:proofErr w:type="gramEnd"/>
      <w:r w:rsidRPr="00480788">
        <w:rPr>
          <w:rStyle w:val="HideTWBExt"/>
          <w:noProof w:val="0"/>
          <w:lang w:val="fr-FR"/>
        </w:rPr>
        <w:t>&lt;/Original&gt;</w:t>
      </w:r>
    </w:p>
    <w:p w14:paraId="1895A2EA" w14:textId="77777777" w:rsidR="00480788" w:rsidRPr="001F36C8" w:rsidRDefault="004A6753" w:rsidP="00480788">
      <w:pPr>
        <w:pStyle w:val="AMNumberTabs"/>
        <w:keepNext/>
        <w:rPr>
          <w:lang w:val="en-GB"/>
        </w:rPr>
      </w:pPr>
      <w:r w:rsidRPr="00480788">
        <w:rPr>
          <w:rStyle w:val="HideTWBExt"/>
          <w:lang w:val="en-GB"/>
        </w:rPr>
        <w:t>&lt;/Amend&gt;</w:t>
      </w:r>
      <w:r w:rsidR="00480788">
        <w:rPr>
          <w:rStyle w:val="HideTWBExt"/>
          <w:b w:val="0"/>
          <w:lang w:val="en-GB"/>
        </w:rPr>
        <w:t>&lt;Amend&gt;</w:t>
      </w:r>
      <w:r w:rsidR="00480788" w:rsidRPr="00A97FC6">
        <w:rPr>
          <w:lang w:val="en-GB"/>
        </w:rPr>
        <w:t>Amendment</w:t>
      </w:r>
      <w:r w:rsidR="00480788" w:rsidRPr="001F36C8">
        <w:rPr>
          <w:lang w:val="en-GB"/>
        </w:rPr>
        <w:tab/>
      </w:r>
      <w:r w:rsidR="00480788" w:rsidRPr="001F36C8">
        <w:rPr>
          <w:lang w:val="en-GB"/>
        </w:rPr>
        <w:tab/>
      </w:r>
      <w:r w:rsidR="00480788" w:rsidRPr="001F36C8">
        <w:rPr>
          <w:rStyle w:val="HideTWBExt"/>
          <w:b w:val="0"/>
          <w:lang w:val="en-GB"/>
        </w:rPr>
        <w:t>&lt;NumAm&gt;</w:t>
      </w:r>
      <w:r w:rsidR="00480788">
        <w:rPr>
          <w:color w:val="000000"/>
          <w:lang w:val="en-GB"/>
        </w:rPr>
        <w:t>7</w:t>
      </w:r>
      <w:r w:rsidR="00480788" w:rsidRPr="001F36C8">
        <w:rPr>
          <w:rStyle w:val="HideTWBExt"/>
          <w:b w:val="0"/>
          <w:lang w:val="en-GB"/>
        </w:rPr>
        <w:t>&lt;/NumAm&gt;</w:t>
      </w:r>
    </w:p>
    <w:p w14:paraId="3F97A707" w14:textId="77777777" w:rsidR="00480788" w:rsidRPr="00FF0958" w:rsidRDefault="00480788" w:rsidP="00480788">
      <w:pPr>
        <w:pStyle w:val="NormalBold"/>
        <w:rPr>
          <w:lang w:val="en-GB"/>
        </w:rPr>
      </w:pPr>
      <w:r w:rsidRPr="00F129D1">
        <w:rPr>
          <w:rStyle w:val="HideTWBExt"/>
          <w:b w:val="0"/>
          <w:lang w:val="en-GB"/>
        </w:rPr>
        <w:t>&lt;RepeatBlock-By&gt;</w:t>
      </w:r>
      <w:r w:rsidRPr="001F36C8">
        <w:rPr>
          <w:rStyle w:val="HideTWBExt"/>
          <w:b w:val="0"/>
          <w:lang w:val="en-GB"/>
        </w:rPr>
        <w:t>&lt;Members&gt;</w:t>
      </w:r>
      <w:r w:rsidRPr="0059210F">
        <w:rPr>
          <w:lang w:val="en-GB"/>
        </w:rPr>
        <w:t xml:space="preserve">Peter </w:t>
      </w:r>
      <w:proofErr w:type="spellStart"/>
      <w:r w:rsidRPr="0059210F">
        <w:rPr>
          <w:lang w:val="en-GB"/>
        </w:rPr>
        <w:t>Jahr</w:t>
      </w:r>
      <w:proofErr w:type="spellEnd"/>
      <w:r w:rsidRPr="001F36C8">
        <w:rPr>
          <w:rStyle w:val="HideTWBExt"/>
          <w:b w:val="0"/>
          <w:lang w:val="en-GB"/>
        </w:rPr>
        <w:t>&lt;/Members&gt;</w:t>
      </w:r>
    </w:p>
    <w:p w14:paraId="37EF7DFA" w14:textId="77777777" w:rsidR="00480788" w:rsidRPr="00ED66A2" w:rsidRDefault="00480788" w:rsidP="00480788">
      <w:r w:rsidRPr="007E6396">
        <w:rPr>
          <w:rStyle w:val="HideTWBExt"/>
        </w:rPr>
        <w:t>&lt;/RepeatBlock-By&gt;</w:t>
      </w:r>
    </w:p>
    <w:p w14:paraId="79C0AFC4" w14:textId="77777777" w:rsidR="00480788" w:rsidRPr="001F36C8" w:rsidRDefault="00480788" w:rsidP="00480788">
      <w:pPr>
        <w:pStyle w:val="NormalBold"/>
        <w:keepNext/>
        <w:rPr>
          <w:lang w:val="en-GB"/>
        </w:rPr>
      </w:pPr>
      <w:r w:rsidRPr="001F36C8">
        <w:rPr>
          <w:rStyle w:val="HideTWBExt"/>
          <w:b w:val="0"/>
          <w:lang w:val="en-GB"/>
        </w:rPr>
        <w:t>&lt;DocAmend&gt;</w:t>
      </w:r>
      <w:r w:rsidRPr="00C177EB">
        <w:rPr>
          <w:lang w:val="en-GB"/>
        </w:rPr>
        <w:t>Proposal for a regulation</w:t>
      </w:r>
      <w:r w:rsidRPr="001F36C8">
        <w:rPr>
          <w:rStyle w:val="HideTWBExt"/>
          <w:b w:val="0"/>
          <w:lang w:val="en-GB"/>
        </w:rPr>
        <w:t>&lt;/DocAmend&gt;</w:t>
      </w:r>
    </w:p>
    <w:p w14:paraId="7023EB23" w14:textId="77777777" w:rsidR="00480788" w:rsidRPr="00FF0958" w:rsidRDefault="00480788" w:rsidP="00480788">
      <w:pPr>
        <w:pStyle w:val="NormalBold"/>
        <w:rPr>
          <w:lang w:val="en-GB"/>
        </w:rPr>
      </w:pPr>
      <w:r w:rsidRPr="001F36C8">
        <w:rPr>
          <w:rStyle w:val="HideTWBExt"/>
          <w:b w:val="0"/>
          <w:lang w:val="en-GB"/>
        </w:rPr>
        <w:t>&lt;Article&gt;</w:t>
      </w:r>
      <w:r w:rsidRPr="0059210F">
        <w:rPr>
          <w:lang w:val="en-GB"/>
        </w:rPr>
        <w:t>Article 65</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80788" w:rsidRPr="001F36C8" w14:paraId="06F448F5" w14:textId="77777777" w:rsidTr="0081007B">
        <w:trPr>
          <w:jc w:val="center"/>
        </w:trPr>
        <w:tc>
          <w:tcPr>
            <w:tcW w:w="9752" w:type="dxa"/>
            <w:gridSpan w:val="2"/>
          </w:tcPr>
          <w:p w14:paraId="2D007E26" w14:textId="77777777" w:rsidR="00480788" w:rsidRPr="001F36C8" w:rsidRDefault="00480788" w:rsidP="0081007B">
            <w:pPr>
              <w:keepNext/>
            </w:pPr>
          </w:p>
        </w:tc>
      </w:tr>
      <w:tr w:rsidR="00480788" w:rsidRPr="001F36C8" w14:paraId="6126644D" w14:textId="77777777" w:rsidTr="0081007B">
        <w:trPr>
          <w:jc w:val="center"/>
        </w:trPr>
        <w:tc>
          <w:tcPr>
            <w:tcW w:w="4876" w:type="dxa"/>
          </w:tcPr>
          <w:p w14:paraId="649F879D" w14:textId="77777777" w:rsidR="00480788" w:rsidRPr="001F36C8" w:rsidRDefault="00480788" w:rsidP="0081007B">
            <w:pPr>
              <w:pStyle w:val="ColumnHeading"/>
              <w:keepNext/>
              <w:rPr>
                <w:lang w:val="en-GB"/>
              </w:rPr>
            </w:pPr>
            <w:r w:rsidRPr="001F36C8">
              <w:rPr>
                <w:lang w:val="en-GB"/>
              </w:rPr>
              <w:t>Text proposed by the Commission</w:t>
            </w:r>
          </w:p>
        </w:tc>
        <w:tc>
          <w:tcPr>
            <w:tcW w:w="4876" w:type="dxa"/>
          </w:tcPr>
          <w:p w14:paraId="57227D1B" w14:textId="77777777" w:rsidR="00480788" w:rsidRPr="001F36C8" w:rsidRDefault="00480788" w:rsidP="0081007B">
            <w:pPr>
              <w:pStyle w:val="ColumnHeading"/>
              <w:keepNext/>
              <w:rPr>
                <w:lang w:val="en-GB"/>
              </w:rPr>
            </w:pPr>
            <w:r w:rsidRPr="001F36C8">
              <w:rPr>
                <w:lang w:val="en-GB"/>
              </w:rPr>
              <w:t>Amendment</w:t>
            </w:r>
          </w:p>
        </w:tc>
      </w:tr>
      <w:tr w:rsidR="00480788" w:rsidRPr="001F36C8" w14:paraId="7D56FF70" w14:textId="77777777" w:rsidTr="0081007B">
        <w:trPr>
          <w:jc w:val="center"/>
        </w:trPr>
        <w:tc>
          <w:tcPr>
            <w:tcW w:w="4876" w:type="dxa"/>
          </w:tcPr>
          <w:p w14:paraId="18E2C29B" w14:textId="77777777" w:rsidR="00480788" w:rsidRPr="00EE201B" w:rsidRDefault="00480788" w:rsidP="0081007B">
            <w:pPr>
              <w:pStyle w:val="Normal6"/>
              <w:rPr>
                <w:lang w:val="en-GB"/>
              </w:rPr>
            </w:pPr>
            <w:r w:rsidRPr="00EE201B">
              <w:rPr>
                <w:lang w:val="en-GB"/>
              </w:rPr>
              <w:t>65</w:t>
            </w:r>
            <w:r w:rsidRPr="00EE201B">
              <w:rPr>
                <w:lang w:val="en-GB"/>
              </w:rPr>
              <w:tab/>
            </w:r>
            <w:r w:rsidRPr="00F129D1">
              <w:rPr>
                <w:b/>
                <w:i/>
                <w:lang w:val="en-GB"/>
              </w:rPr>
              <w:t>Environmental</w:t>
            </w:r>
            <w:r w:rsidRPr="00EE201B">
              <w:rPr>
                <w:lang w:val="en-GB"/>
              </w:rPr>
              <w:t>, climate and other management commitments</w:t>
            </w:r>
          </w:p>
        </w:tc>
        <w:tc>
          <w:tcPr>
            <w:tcW w:w="4876" w:type="dxa"/>
          </w:tcPr>
          <w:p w14:paraId="4E50659C" w14:textId="77777777" w:rsidR="00480788" w:rsidRPr="001F36C8" w:rsidRDefault="00480788" w:rsidP="0081007B">
            <w:pPr>
              <w:pStyle w:val="Normal6"/>
              <w:rPr>
                <w:szCs w:val="24"/>
                <w:lang w:val="en-GB"/>
              </w:rPr>
            </w:pPr>
            <w:r w:rsidRPr="00EE201B">
              <w:rPr>
                <w:lang w:val="en-GB"/>
              </w:rPr>
              <w:t>65</w:t>
            </w:r>
            <w:r w:rsidRPr="00EE201B">
              <w:rPr>
                <w:lang w:val="en-GB"/>
              </w:rPr>
              <w:tab/>
            </w:r>
            <w:r w:rsidRPr="00F129D1">
              <w:rPr>
                <w:b/>
                <w:i/>
                <w:lang w:val="en-GB"/>
              </w:rPr>
              <w:t>Agri-environmental sustainability</w:t>
            </w:r>
            <w:r w:rsidRPr="00EE201B">
              <w:rPr>
                <w:lang w:val="en-GB"/>
              </w:rPr>
              <w:t xml:space="preserve">, climate </w:t>
            </w:r>
            <w:r w:rsidRPr="00F129D1">
              <w:rPr>
                <w:b/>
                <w:i/>
                <w:lang w:val="en-GB"/>
              </w:rPr>
              <w:t>mitigation and adaption measures</w:t>
            </w:r>
            <w:r w:rsidRPr="00EE201B">
              <w:rPr>
                <w:lang w:val="en-GB"/>
              </w:rPr>
              <w:t xml:space="preserve"> and other management commitments </w:t>
            </w:r>
            <w:r w:rsidRPr="00F129D1">
              <w:rPr>
                <w:b/>
                <w:i/>
                <w:lang w:val="en-GB"/>
              </w:rPr>
              <w:t>beneficial for the environment</w:t>
            </w:r>
          </w:p>
        </w:tc>
      </w:tr>
      <w:tr w:rsidR="00480788" w:rsidRPr="001F36C8" w14:paraId="5F228318" w14:textId="77777777" w:rsidTr="0081007B">
        <w:trPr>
          <w:jc w:val="center"/>
        </w:trPr>
        <w:tc>
          <w:tcPr>
            <w:tcW w:w="4876" w:type="dxa"/>
          </w:tcPr>
          <w:p w14:paraId="0D926FDD" w14:textId="77777777" w:rsidR="00480788" w:rsidRPr="00EE201B" w:rsidRDefault="00480788" w:rsidP="0081007B">
            <w:pPr>
              <w:pStyle w:val="Normal6"/>
              <w:rPr>
                <w:lang w:val="en-GB"/>
              </w:rPr>
            </w:pPr>
            <w:r w:rsidRPr="00EE201B">
              <w:rPr>
                <w:lang w:val="en-GB"/>
              </w:rPr>
              <w:t>1.</w:t>
            </w:r>
            <w:r w:rsidRPr="00EE201B">
              <w:rPr>
                <w:lang w:val="en-GB"/>
              </w:rPr>
              <w:tab/>
              <w:t xml:space="preserve">Member States may grant payments for </w:t>
            </w:r>
            <w:r w:rsidRPr="00F129D1">
              <w:rPr>
                <w:b/>
                <w:i/>
                <w:lang w:val="en-GB"/>
              </w:rPr>
              <w:t>environmental</w:t>
            </w:r>
            <w:r w:rsidRPr="00EE201B">
              <w:rPr>
                <w:lang w:val="en-GB"/>
              </w:rPr>
              <w:t>, climate and other management commitments under the conditions set out in this Article and as further specified in their CAP Strategic Plans</w:t>
            </w:r>
            <w:r w:rsidRPr="00F129D1">
              <w:rPr>
                <w:b/>
                <w:i/>
                <w:lang w:val="en-GB"/>
              </w:rPr>
              <w:t>.</w:t>
            </w:r>
          </w:p>
        </w:tc>
        <w:tc>
          <w:tcPr>
            <w:tcW w:w="4876" w:type="dxa"/>
          </w:tcPr>
          <w:p w14:paraId="45DA34A5" w14:textId="0C811CCC" w:rsidR="00480788" w:rsidRPr="001F36C8" w:rsidRDefault="00480788" w:rsidP="0081007B">
            <w:pPr>
              <w:pStyle w:val="Normal6"/>
              <w:rPr>
                <w:lang w:val="en-GB"/>
              </w:rPr>
            </w:pPr>
            <w:r w:rsidRPr="00EE201B">
              <w:rPr>
                <w:lang w:val="en-GB"/>
              </w:rPr>
              <w:t>1.</w:t>
            </w:r>
            <w:r w:rsidRPr="00EE201B">
              <w:rPr>
                <w:lang w:val="en-GB"/>
              </w:rPr>
              <w:tab/>
              <w:t xml:space="preserve">Member States may grant payments for </w:t>
            </w:r>
            <w:r w:rsidRPr="00F129D1">
              <w:rPr>
                <w:b/>
                <w:i/>
                <w:lang w:val="en-GB"/>
              </w:rPr>
              <w:t>agri-</w:t>
            </w:r>
            <w:proofErr w:type="gramStart"/>
            <w:r w:rsidRPr="00F129D1">
              <w:rPr>
                <w:b/>
                <w:i/>
                <w:lang w:val="en-GB"/>
              </w:rPr>
              <w:t>environmental</w:t>
            </w:r>
            <w:proofErr w:type="gramEnd"/>
            <w:r w:rsidRPr="00F129D1">
              <w:rPr>
                <w:b/>
                <w:i/>
                <w:lang w:val="en-GB"/>
              </w:rPr>
              <w:t xml:space="preserve"> sustainable practices</w:t>
            </w:r>
            <w:r w:rsidRPr="00EE201B">
              <w:rPr>
                <w:lang w:val="en-GB"/>
              </w:rPr>
              <w:t xml:space="preserve">, climate </w:t>
            </w:r>
            <w:r w:rsidRPr="00F129D1">
              <w:rPr>
                <w:b/>
                <w:i/>
                <w:lang w:val="en-GB"/>
              </w:rPr>
              <w:t>mitigation and adaption</w:t>
            </w:r>
            <w:commentRangeStart w:id="22"/>
            <w:r w:rsidRPr="00F129D1">
              <w:rPr>
                <w:b/>
                <w:i/>
                <w:lang w:val="en-GB"/>
              </w:rPr>
              <w:t xml:space="preserve">, </w:t>
            </w:r>
            <w:commentRangeStart w:id="23"/>
            <w:commentRangeStart w:id="24"/>
            <w:r w:rsidRPr="001705F5">
              <w:rPr>
                <w:b/>
                <w:i/>
                <w:color w:val="FF0000"/>
                <w:lang w:val="en-GB"/>
              </w:rPr>
              <w:t>including the management of natural risks</w:t>
            </w:r>
            <w:commentRangeEnd w:id="23"/>
            <w:r w:rsidR="001705F5">
              <w:rPr>
                <w:rStyle w:val="CommentReference"/>
                <w:lang w:val="en-GB"/>
              </w:rPr>
              <w:commentReference w:id="23"/>
            </w:r>
            <w:commentRangeEnd w:id="24"/>
            <w:r>
              <w:rPr>
                <w:rStyle w:val="CommentReference"/>
              </w:rPr>
              <w:commentReference w:id="24"/>
            </w:r>
            <w:commentRangeEnd w:id="22"/>
            <w:r w:rsidR="00027D7C">
              <w:rPr>
                <w:rStyle w:val="CommentReference"/>
                <w:lang w:val="en-GB"/>
              </w:rPr>
              <w:commentReference w:id="22"/>
            </w:r>
            <w:r w:rsidRPr="00F129D1">
              <w:rPr>
                <w:b/>
                <w:i/>
                <w:lang w:val="en-GB"/>
              </w:rPr>
              <w:t>,</w:t>
            </w:r>
            <w:r w:rsidRPr="00EE201B">
              <w:rPr>
                <w:lang w:val="en-GB"/>
              </w:rPr>
              <w:t xml:space="preserve"> and other management commitments</w:t>
            </w:r>
            <w:r w:rsidRPr="00F129D1">
              <w:rPr>
                <w:b/>
                <w:i/>
                <w:lang w:val="en-GB"/>
              </w:rPr>
              <w:t xml:space="preserve">, such as </w:t>
            </w:r>
            <w:commentRangeStart w:id="25"/>
            <w:r w:rsidRPr="00F129D1">
              <w:rPr>
                <w:b/>
                <w:i/>
                <w:lang w:val="en-GB"/>
              </w:rPr>
              <w:t>forestry</w:t>
            </w:r>
            <w:commentRangeEnd w:id="25"/>
            <w:r>
              <w:rPr>
                <w:rStyle w:val="CommentReference"/>
              </w:rPr>
              <w:commentReference w:id="25"/>
            </w:r>
            <w:r w:rsidRPr="00F129D1">
              <w:rPr>
                <w:b/>
                <w:i/>
                <w:lang w:val="en-GB"/>
              </w:rPr>
              <w:t xml:space="preserve">, protection </w:t>
            </w:r>
            <w:commentRangeStart w:id="26"/>
            <w:r w:rsidRPr="00F129D1">
              <w:rPr>
                <w:b/>
                <w:i/>
                <w:lang w:val="en-GB"/>
              </w:rPr>
              <w:t>and improvement of genetic resources</w:t>
            </w:r>
            <w:commentRangeEnd w:id="26"/>
            <w:r w:rsidR="00027D7C">
              <w:rPr>
                <w:rStyle w:val="CommentReference"/>
                <w:lang w:val="en-GB"/>
              </w:rPr>
              <w:commentReference w:id="26"/>
            </w:r>
            <w:r w:rsidRPr="00F129D1">
              <w:rPr>
                <w:b/>
                <w:i/>
                <w:lang w:val="en-GB"/>
              </w:rPr>
              <w:t xml:space="preserve">, and </w:t>
            </w:r>
            <w:commentRangeStart w:id="27"/>
            <w:r w:rsidRPr="00F129D1">
              <w:rPr>
                <w:b/>
                <w:i/>
                <w:lang w:val="en-GB"/>
              </w:rPr>
              <w:t>animal health and welfare</w:t>
            </w:r>
            <w:commentRangeEnd w:id="27"/>
            <w:r w:rsidR="00027D7C">
              <w:rPr>
                <w:rStyle w:val="CommentReference"/>
                <w:lang w:val="en-GB"/>
              </w:rPr>
              <w:commentReference w:id="27"/>
            </w:r>
            <w:r w:rsidRPr="00F129D1">
              <w:rPr>
                <w:b/>
                <w:i/>
                <w:lang w:val="en-GB"/>
              </w:rPr>
              <w:t>,</w:t>
            </w:r>
            <w:r w:rsidRPr="00EE201B">
              <w:rPr>
                <w:lang w:val="en-GB"/>
              </w:rPr>
              <w:t xml:space="preserve"> under the conditions set out in this Article and as further specified in their CAP Strategic Plans</w:t>
            </w:r>
          </w:p>
        </w:tc>
      </w:tr>
      <w:tr w:rsidR="00480788" w:rsidRPr="001F36C8" w14:paraId="2B492120" w14:textId="77777777" w:rsidTr="0081007B">
        <w:trPr>
          <w:jc w:val="center"/>
        </w:trPr>
        <w:tc>
          <w:tcPr>
            <w:tcW w:w="4876" w:type="dxa"/>
          </w:tcPr>
          <w:p w14:paraId="4A0C11CD" w14:textId="77777777" w:rsidR="00480788" w:rsidRPr="00EE201B" w:rsidRDefault="00480788" w:rsidP="0081007B">
            <w:pPr>
              <w:pStyle w:val="Normal6"/>
              <w:rPr>
                <w:lang w:val="en-GB"/>
              </w:rPr>
            </w:pPr>
            <w:r w:rsidRPr="00EE201B">
              <w:rPr>
                <w:lang w:val="en-GB"/>
              </w:rPr>
              <w:t>2.</w:t>
            </w:r>
            <w:r w:rsidRPr="00EE201B">
              <w:rPr>
                <w:lang w:val="en-GB"/>
              </w:rPr>
              <w:tab/>
              <w:t xml:space="preserve">Member States shall include </w:t>
            </w:r>
            <w:proofErr w:type="spellStart"/>
            <w:r w:rsidRPr="00EE201B">
              <w:rPr>
                <w:lang w:val="en-GB"/>
              </w:rPr>
              <w:t>agri</w:t>
            </w:r>
            <w:proofErr w:type="spellEnd"/>
            <w:r w:rsidRPr="00EE201B">
              <w:rPr>
                <w:lang w:val="en-GB"/>
              </w:rPr>
              <w:t>-environment-climate commitments in their CAP Strategic Plans.</w:t>
            </w:r>
          </w:p>
        </w:tc>
        <w:tc>
          <w:tcPr>
            <w:tcW w:w="4876" w:type="dxa"/>
          </w:tcPr>
          <w:p w14:paraId="4C13B665" w14:textId="77777777" w:rsidR="00480788" w:rsidRPr="001F36C8" w:rsidRDefault="00480788" w:rsidP="0081007B">
            <w:pPr>
              <w:pStyle w:val="Normal6"/>
              <w:rPr>
                <w:szCs w:val="24"/>
                <w:lang w:val="en-GB"/>
              </w:rPr>
            </w:pPr>
            <w:r w:rsidRPr="00EE201B">
              <w:rPr>
                <w:lang w:val="en-GB"/>
              </w:rPr>
              <w:t>2.</w:t>
            </w:r>
            <w:r w:rsidRPr="00EE201B">
              <w:rPr>
                <w:lang w:val="en-GB"/>
              </w:rPr>
              <w:tab/>
              <w:t xml:space="preserve">Member States shall include </w:t>
            </w:r>
            <w:proofErr w:type="spellStart"/>
            <w:r w:rsidRPr="00EE201B">
              <w:rPr>
                <w:lang w:val="en-GB"/>
              </w:rPr>
              <w:t>agri</w:t>
            </w:r>
            <w:proofErr w:type="spellEnd"/>
            <w:r w:rsidRPr="00EE201B">
              <w:rPr>
                <w:lang w:val="en-GB"/>
              </w:rPr>
              <w:t>-environment-climate commitments in their CAP Strategic Plans.</w:t>
            </w:r>
          </w:p>
        </w:tc>
      </w:tr>
      <w:tr w:rsidR="00480788" w:rsidRPr="001F36C8" w14:paraId="2BA8921A" w14:textId="77777777" w:rsidTr="0081007B">
        <w:trPr>
          <w:jc w:val="center"/>
        </w:trPr>
        <w:tc>
          <w:tcPr>
            <w:tcW w:w="4876" w:type="dxa"/>
          </w:tcPr>
          <w:p w14:paraId="2F8899B3" w14:textId="77777777" w:rsidR="00480788" w:rsidRPr="00EE201B" w:rsidRDefault="00480788" w:rsidP="0081007B">
            <w:pPr>
              <w:pStyle w:val="Normal6"/>
              <w:rPr>
                <w:lang w:val="en-GB"/>
              </w:rPr>
            </w:pPr>
            <w:r w:rsidRPr="00EE201B">
              <w:rPr>
                <w:lang w:val="en-GB"/>
              </w:rPr>
              <w:t>3.</w:t>
            </w:r>
            <w:r w:rsidRPr="00EE201B">
              <w:rPr>
                <w:lang w:val="en-GB"/>
              </w:rPr>
              <w:tab/>
              <w:t xml:space="preserve">Member States </w:t>
            </w:r>
            <w:r w:rsidRPr="00F129D1">
              <w:rPr>
                <w:b/>
                <w:i/>
                <w:lang w:val="en-GB"/>
              </w:rPr>
              <w:t>may</w:t>
            </w:r>
            <w:r w:rsidRPr="00EE201B">
              <w:rPr>
                <w:lang w:val="en-GB"/>
              </w:rPr>
              <w:t xml:space="preserve"> make support under this type of interventions available throughout their territories, in accordance with their national, regional or local specific needs.</w:t>
            </w:r>
          </w:p>
        </w:tc>
        <w:tc>
          <w:tcPr>
            <w:tcW w:w="4876" w:type="dxa"/>
          </w:tcPr>
          <w:p w14:paraId="267D3009" w14:textId="77777777" w:rsidR="00480788" w:rsidRPr="001F36C8" w:rsidRDefault="00480788" w:rsidP="0081007B">
            <w:pPr>
              <w:pStyle w:val="Normal6"/>
              <w:rPr>
                <w:lang w:val="en-GB"/>
              </w:rPr>
            </w:pPr>
            <w:r w:rsidRPr="00EE201B">
              <w:rPr>
                <w:lang w:val="en-GB"/>
              </w:rPr>
              <w:t>3.</w:t>
            </w:r>
            <w:r w:rsidRPr="00EE201B">
              <w:rPr>
                <w:lang w:val="en-GB"/>
              </w:rPr>
              <w:tab/>
              <w:t xml:space="preserve">Member States </w:t>
            </w:r>
            <w:commentRangeStart w:id="28"/>
            <w:r w:rsidRPr="00F129D1">
              <w:rPr>
                <w:b/>
                <w:i/>
                <w:lang w:val="en-GB"/>
              </w:rPr>
              <w:t>shall</w:t>
            </w:r>
            <w:r w:rsidRPr="00EE201B">
              <w:rPr>
                <w:lang w:val="en-GB"/>
              </w:rPr>
              <w:t xml:space="preserve"> </w:t>
            </w:r>
            <w:commentRangeEnd w:id="28"/>
            <w:r>
              <w:rPr>
                <w:rStyle w:val="CommentReference"/>
              </w:rPr>
              <w:commentReference w:id="28"/>
            </w:r>
            <w:r w:rsidRPr="00EE201B">
              <w:rPr>
                <w:lang w:val="en-GB"/>
              </w:rPr>
              <w:t xml:space="preserve">make support under this type of interventions available throughout their territories, in accordance with their national, regional or local specific needs. </w:t>
            </w:r>
            <w:commentRangeStart w:id="29"/>
            <w:r w:rsidRPr="001877EF">
              <w:rPr>
                <w:b/>
                <w:i/>
                <w:color w:val="FF0000"/>
                <w:lang w:val="en-GB"/>
              </w:rPr>
              <w:t xml:space="preserve">That support shall be </w:t>
            </w:r>
            <w:r w:rsidRPr="001877EF">
              <w:rPr>
                <w:b/>
                <w:i/>
                <w:color w:val="FF0000"/>
                <w:lang w:val="en-GB"/>
              </w:rPr>
              <w:lastRenderedPageBreak/>
              <w:t xml:space="preserve">limited to maximum amounts laid down in Annex </w:t>
            </w:r>
            <w:proofErr w:type="spellStart"/>
            <w:r w:rsidRPr="001877EF">
              <w:rPr>
                <w:b/>
                <w:i/>
                <w:color w:val="FF0000"/>
                <w:lang w:val="en-GB"/>
              </w:rPr>
              <w:t>IXaa</w:t>
            </w:r>
            <w:proofErr w:type="spellEnd"/>
            <w:r w:rsidRPr="001877EF">
              <w:rPr>
                <w:b/>
                <w:i/>
                <w:color w:val="FF0000"/>
                <w:lang w:val="en-GB"/>
              </w:rPr>
              <w:t>.</w:t>
            </w:r>
            <w:commentRangeEnd w:id="29"/>
            <w:r w:rsidR="001877EF">
              <w:rPr>
                <w:rStyle w:val="CommentReference"/>
                <w:lang w:val="en-GB"/>
              </w:rPr>
              <w:commentReference w:id="29"/>
            </w:r>
          </w:p>
        </w:tc>
      </w:tr>
      <w:tr w:rsidR="00480788" w:rsidRPr="001F36C8" w14:paraId="434F2D45" w14:textId="77777777" w:rsidTr="0081007B">
        <w:trPr>
          <w:jc w:val="center"/>
        </w:trPr>
        <w:tc>
          <w:tcPr>
            <w:tcW w:w="4876" w:type="dxa"/>
          </w:tcPr>
          <w:p w14:paraId="7CF9B833" w14:textId="77777777" w:rsidR="00480788" w:rsidRPr="00EE201B" w:rsidRDefault="00480788" w:rsidP="0081007B">
            <w:pPr>
              <w:pStyle w:val="Normal6"/>
              <w:rPr>
                <w:lang w:val="en-GB"/>
              </w:rPr>
            </w:pPr>
            <w:r w:rsidRPr="00EE201B">
              <w:rPr>
                <w:lang w:val="en-GB"/>
              </w:rPr>
              <w:lastRenderedPageBreak/>
              <w:t>4.</w:t>
            </w:r>
            <w:r w:rsidRPr="00EE201B">
              <w:rPr>
                <w:lang w:val="en-GB"/>
              </w:rPr>
              <w:tab/>
              <w:t xml:space="preserve">Member States shall only grant payments to farmers and other </w:t>
            </w:r>
            <w:r w:rsidRPr="00F129D1">
              <w:rPr>
                <w:b/>
                <w:i/>
                <w:lang w:val="en-GB"/>
              </w:rPr>
              <w:t>beneficiaries</w:t>
            </w:r>
            <w:r w:rsidRPr="00EE201B">
              <w:rPr>
                <w:lang w:val="en-GB"/>
              </w:rPr>
              <w:t xml:space="preserve"> who undertake, on a voluntary basis, management commitments which are considered to be beneficial to achieving the specific objectives set out in Article 6(1).</w:t>
            </w:r>
          </w:p>
        </w:tc>
        <w:tc>
          <w:tcPr>
            <w:tcW w:w="4876" w:type="dxa"/>
          </w:tcPr>
          <w:p w14:paraId="131C64AE" w14:textId="4A3FD5C1" w:rsidR="00480788" w:rsidRPr="001F36C8" w:rsidRDefault="00480788" w:rsidP="0081007B">
            <w:pPr>
              <w:pStyle w:val="Normal6"/>
              <w:rPr>
                <w:lang w:val="en-GB"/>
              </w:rPr>
            </w:pPr>
            <w:r w:rsidRPr="00EE201B">
              <w:rPr>
                <w:lang w:val="en-GB"/>
              </w:rPr>
              <w:t>4.</w:t>
            </w:r>
            <w:r w:rsidRPr="00EE201B">
              <w:rPr>
                <w:lang w:val="en-GB"/>
              </w:rPr>
              <w:tab/>
              <w:t>Member States shall only grant payments to farmers</w:t>
            </w:r>
            <w:r w:rsidRPr="00F129D1">
              <w:rPr>
                <w:b/>
                <w:i/>
                <w:lang w:val="en-GB"/>
              </w:rPr>
              <w:t xml:space="preserve">, </w:t>
            </w:r>
            <w:commentRangeStart w:id="30"/>
            <w:r w:rsidRPr="00F129D1">
              <w:rPr>
                <w:b/>
                <w:i/>
                <w:lang w:val="en-GB"/>
              </w:rPr>
              <w:t>groups of farmers</w:t>
            </w:r>
            <w:r w:rsidRPr="00EE201B">
              <w:rPr>
                <w:lang w:val="en-GB"/>
              </w:rPr>
              <w:t xml:space="preserve"> and other </w:t>
            </w:r>
            <w:r w:rsidRPr="00F129D1">
              <w:rPr>
                <w:b/>
                <w:i/>
                <w:lang w:val="en-GB"/>
              </w:rPr>
              <w:t>land-managers</w:t>
            </w:r>
            <w:commentRangeEnd w:id="30"/>
            <w:r>
              <w:rPr>
                <w:rStyle w:val="CommentReference"/>
              </w:rPr>
              <w:commentReference w:id="30"/>
            </w:r>
            <w:r w:rsidRPr="00EE201B">
              <w:rPr>
                <w:lang w:val="en-GB"/>
              </w:rPr>
              <w:t xml:space="preserve"> who undertake, on a voluntary basis, management commitments</w:t>
            </w:r>
            <w:r w:rsidRPr="00F129D1">
              <w:rPr>
                <w:b/>
                <w:i/>
                <w:lang w:val="en-GB"/>
              </w:rPr>
              <w:t>, such as the appropriate protection of wetland and organic soil,</w:t>
            </w:r>
            <w:r w:rsidRPr="00EE201B">
              <w:rPr>
                <w:lang w:val="en-GB"/>
              </w:rPr>
              <w:t xml:space="preserve"> which are considered to be beneficial to achieving the </w:t>
            </w:r>
            <w:r w:rsidRPr="00F129D1">
              <w:rPr>
                <w:b/>
                <w:i/>
                <w:lang w:val="en-GB"/>
              </w:rPr>
              <w:t>relevant</w:t>
            </w:r>
            <w:r w:rsidRPr="00EE201B">
              <w:rPr>
                <w:lang w:val="en-GB"/>
              </w:rPr>
              <w:t xml:space="preserve"> specific objectives set out in Article 6(1). </w:t>
            </w:r>
            <w:r w:rsidRPr="00F129D1">
              <w:rPr>
                <w:b/>
                <w:i/>
                <w:lang w:val="en-GB"/>
              </w:rPr>
              <w:t xml:space="preserve">Priority may be given to schemes which are specifically targeted towards addressing local environmental conditions and needs and contribute, </w:t>
            </w:r>
            <w:r w:rsidRPr="43DB2034">
              <w:rPr>
                <w:b/>
                <w:i/>
                <w:color w:val="FF0000"/>
                <w:lang w:val="en-GB"/>
              </w:rPr>
              <w:t>where appropriate</w:t>
            </w:r>
            <w:r w:rsidRPr="00F129D1">
              <w:rPr>
                <w:b/>
                <w:i/>
                <w:lang w:val="en-GB"/>
              </w:rPr>
              <w:t xml:space="preserve">, </w:t>
            </w:r>
            <w:commentRangeStart w:id="31"/>
            <w:r w:rsidRPr="00F129D1">
              <w:rPr>
                <w:b/>
                <w:i/>
                <w:lang w:val="en-GB"/>
              </w:rPr>
              <w:t>to the achievement of the objectives set out in the legislation listed in Annex XI.</w:t>
            </w:r>
            <w:commentRangeEnd w:id="31"/>
            <w:r>
              <w:rPr>
                <w:rStyle w:val="CommentReference"/>
              </w:rPr>
              <w:commentReference w:id="31"/>
            </w:r>
          </w:p>
        </w:tc>
      </w:tr>
      <w:tr w:rsidR="00480788" w:rsidRPr="001F36C8" w14:paraId="648FF352" w14:textId="77777777" w:rsidTr="0081007B">
        <w:trPr>
          <w:jc w:val="center"/>
        </w:trPr>
        <w:tc>
          <w:tcPr>
            <w:tcW w:w="4876" w:type="dxa"/>
          </w:tcPr>
          <w:p w14:paraId="4F888389" w14:textId="77777777" w:rsidR="00480788" w:rsidRPr="00EE201B" w:rsidRDefault="00480788" w:rsidP="0081007B">
            <w:pPr>
              <w:pStyle w:val="Normal6"/>
              <w:rPr>
                <w:lang w:val="en-GB"/>
              </w:rPr>
            </w:pPr>
            <w:r w:rsidRPr="00EE201B">
              <w:rPr>
                <w:lang w:val="en-GB"/>
              </w:rPr>
              <w:t>5.</w:t>
            </w:r>
            <w:r w:rsidRPr="00EE201B">
              <w:rPr>
                <w:lang w:val="en-GB"/>
              </w:rPr>
              <w:tab/>
              <w:t>Under this type of interventions, Member States shall only provide payments covering commitments which:</w:t>
            </w:r>
          </w:p>
        </w:tc>
        <w:tc>
          <w:tcPr>
            <w:tcW w:w="4876" w:type="dxa"/>
          </w:tcPr>
          <w:p w14:paraId="432B05F2" w14:textId="77777777" w:rsidR="00480788" w:rsidRPr="001F36C8" w:rsidRDefault="00480788" w:rsidP="0081007B">
            <w:pPr>
              <w:pStyle w:val="Normal6"/>
              <w:rPr>
                <w:szCs w:val="24"/>
                <w:lang w:val="en-GB"/>
              </w:rPr>
            </w:pPr>
            <w:r w:rsidRPr="00EE201B">
              <w:rPr>
                <w:lang w:val="en-GB"/>
              </w:rPr>
              <w:t>5.</w:t>
            </w:r>
            <w:r w:rsidRPr="00EE201B">
              <w:rPr>
                <w:lang w:val="en-GB"/>
              </w:rPr>
              <w:tab/>
              <w:t>Under this type of interventions, Member States shall only provide payments covering commitments which:</w:t>
            </w:r>
          </w:p>
        </w:tc>
      </w:tr>
      <w:tr w:rsidR="00480788" w:rsidRPr="001F36C8" w14:paraId="5DC5C9BD" w14:textId="77777777" w:rsidTr="0081007B">
        <w:trPr>
          <w:jc w:val="center"/>
        </w:trPr>
        <w:tc>
          <w:tcPr>
            <w:tcW w:w="4876" w:type="dxa"/>
          </w:tcPr>
          <w:p w14:paraId="01768BE6" w14:textId="77777777" w:rsidR="00480788" w:rsidRPr="00EE201B" w:rsidRDefault="00480788" w:rsidP="0081007B">
            <w:pPr>
              <w:pStyle w:val="Normal6"/>
              <w:rPr>
                <w:lang w:val="en-GB"/>
              </w:rPr>
            </w:pPr>
            <w:r w:rsidRPr="00EE201B">
              <w:rPr>
                <w:lang w:val="en-GB"/>
              </w:rPr>
              <w:t>(a)</w:t>
            </w:r>
            <w:r w:rsidRPr="00EE201B">
              <w:rPr>
                <w:lang w:val="en-GB"/>
              </w:rPr>
              <w:tab/>
              <w:t>go beyond the relevant statutory management requirements and standards of good agricultural and environmental condition established under Section 2 of Chapter I of this Title;</w:t>
            </w:r>
          </w:p>
        </w:tc>
        <w:tc>
          <w:tcPr>
            <w:tcW w:w="4876" w:type="dxa"/>
          </w:tcPr>
          <w:p w14:paraId="3BE1BABD" w14:textId="77777777" w:rsidR="00480788" w:rsidRPr="001F36C8" w:rsidRDefault="00480788" w:rsidP="0081007B">
            <w:pPr>
              <w:pStyle w:val="Normal6"/>
              <w:rPr>
                <w:szCs w:val="24"/>
                <w:lang w:val="en-GB"/>
              </w:rPr>
            </w:pPr>
            <w:r w:rsidRPr="00EE201B">
              <w:rPr>
                <w:lang w:val="en-GB"/>
              </w:rPr>
              <w:t>(a)</w:t>
            </w:r>
            <w:r w:rsidRPr="00EE201B">
              <w:rPr>
                <w:lang w:val="en-GB"/>
              </w:rPr>
              <w:tab/>
              <w:t>go beyond the relevant statutory management requirements and standards of good agricultural and environmental condition established under Section 2 of Chapter I of this Title;</w:t>
            </w:r>
          </w:p>
        </w:tc>
      </w:tr>
      <w:tr w:rsidR="00480788" w:rsidRPr="001F36C8" w14:paraId="022A3BCA" w14:textId="77777777" w:rsidTr="0081007B">
        <w:trPr>
          <w:jc w:val="center"/>
        </w:trPr>
        <w:tc>
          <w:tcPr>
            <w:tcW w:w="4876" w:type="dxa"/>
          </w:tcPr>
          <w:p w14:paraId="07D93E3E" w14:textId="77777777" w:rsidR="00480788" w:rsidRPr="00EE201B" w:rsidRDefault="00480788" w:rsidP="0081007B">
            <w:pPr>
              <w:pStyle w:val="Normal6"/>
              <w:rPr>
                <w:lang w:val="en-GB"/>
              </w:rPr>
            </w:pPr>
            <w:r w:rsidRPr="00EE201B">
              <w:rPr>
                <w:lang w:val="en-GB"/>
              </w:rPr>
              <w:t>(b)</w:t>
            </w:r>
            <w:r w:rsidRPr="00EE201B">
              <w:rPr>
                <w:lang w:val="en-GB"/>
              </w:rPr>
              <w:tab/>
              <w:t xml:space="preserve">go beyond the minimum requirements for the use of fertiliser and plant protection products, animal welfare, as well as other mandatory requirements established by </w:t>
            </w:r>
            <w:r w:rsidRPr="00F129D1">
              <w:rPr>
                <w:b/>
                <w:i/>
                <w:lang w:val="en-GB"/>
              </w:rPr>
              <w:t>national and</w:t>
            </w:r>
            <w:r w:rsidRPr="00EE201B">
              <w:rPr>
                <w:lang w:val="en-GB"/>
              </w:rPr>
              <w:t xml:space="preserve"> Union law;</w:t>
            </w:r>
          </w:p>
        </w:tc>
        <w:tc>
          <w:tcPr>
            <w:tcW w:w="4876" w:type="dxa"/>
          </w:tcPr>
          <w:p w14:paraId="34357730" w14:textId="0D25755B" w:rsidR="00480788" w:rsidRPr="001F36C8" w:rsidRDefault="00480788" w:rsidP="0081007B">
            <w:pPr>
              <w:pStyle w:val="Normal6"/>
              <w:rPr>
                <w:lang w:val="en-GB"/>
              </w:rPr>
            </w:pPr>
            <w:r w:rsidRPr="00EE201B">
              <w:rPr>
                <w:lang w:val="en-GB"/>
              </w:rPr>
              <w:t>(b)</w:t>
            </w:r>
            <w:r w:rsidRPr="00EE201B">
              <w:rPr>
                <w:lang w:val="en-GB"/>
              </w:rPr>
              <w:tab/>
              <w:t xml:space="preserve">go beyond the </w:t>
            </w:r>
            <w:r w:rsidRPr="00F129D1">
              <w:rPr>
                <w:b/>
                <w:i/>
                <w:lang w:val="en-GB"/>
              </w:rPr>
              <w:t>relevant</w:t>
            </w:r>
            <w:r w:rsidRPr="00EE201B">
              <w:rPr>
                <w:lang w:val="en-GB"/>
              </w:rPr>
              <w:t xml:space="preserve"> minimum requirements for the use of fertiliser and plant protection products, animal welfare, </w:t>
            </w:r>
            <w:r w:rsidRPr="00F129D1">
              <w:rPr>
                <w:b/>
                <w:i/>
                <w:lang w:val="en-GB"/>
              </w:rPr>
              <w:t>prevention of antimicrobial resistance,</w:t>
            </w:r>
            <w:r w:rsidRPr="00EE201B">
              <w:rPr>
                <w:lang w:val="en-GB"/>
              </w:rPr>
              <w:t xml:space="preserve"> </w:t>
            </w:r>
            <w:r w:rsidRPr="00D57A14">
              <w:rPr>
                <w:lang w:val="en-GB"/>
              </w:rPr>
              <w:t xml:space="preserve">as well as other </w:t>
            </w:r>
            <w:r w:rsidRPr="00D57A14">
              <w:rPr>
                <w:b/>
                <w:i/>
                <w:color w:val="FF0000"/>
                <w:lang w:val="en-GB"/>
              </w:rPr>
              <w:t>relevant</w:t>
            </w:r>
            <w:r w:rsidRPr="00D57A14">
              <w:rPr>
                <w:color w:val="FF0000"/>
                <w:lang w:val="en-GB"/>
              </w:rPr>
              <w:t xml:space="preserve"> mandatory requirements established </w:t>
            </w:r>
            <w:commentRangeStart w:id="32"/>
            <w:r w:rsidRPr="00D57A14">
              <w:rPr>
                <w:color w:val="FF0000"/>
                <w:lang w:val="en-GB"/>
              </w:rPr>
              <w:t>by Union law</w:t>
            </w:r>
            <w:commentRangeEnd w:id="32"/>
            <w:r w:rsidR="00B749DE" w:rsidRPr="00D57A14">
              <w:rPr>
                <w:rStyle w:val="CommentReference"/>
                <w:color w:val="FF0000"/>
                <w:lang w:val="en-GB"/>
              </w:rPr>
              <w:commentReference w:id="32"/>
            </w:r>
            <w:r w:rsidRPr="00D57A14">
              <w:rPr>
                <w:color w:val="FF0000"/>
                <w:lang w:val="en-GB"/>
              </w:rPr>
              <w:t>;</w:t>
            </w:r>
          </w:p>
        </w:tc>
      </w:tr>
      <w:tr w:rsidR="00480788" w:rsidRPr="001F36C8" w14:paraId="5AB14D9A" w14:textId="77777777" w:rsidTr="0081007B">
        <w:trPr>
          <w:jc w:val="center"/>
        </w:trPr>
        <w:tc>
          <w:tcPr>
            <w:tcW w:w="4876" w:type="dxa"/>
          </w:tcPr>
          <w:p w14:paraId="29447592" w14:textId="77777777" w:rsidR="00480788" w:rsidRPr="00EE201B" w:rsidRDefault="00480788" w:rsidP="0081007B">
            <w:pPr>
              <w:pStyle w:val="Normal6"/>
              <w:rPr>
                <w:lang w:val="en-GB"/>
              </w:rPr>
            </w:pPr>
            <w:r w:rsidRPr="00EE201B">
              <w:rPr>
                <w:lang w:val="en-GB"/>
              </w:rPr>
              <w:t>(c)</w:t>
            </w:r>
            <w:r w:rsidRPr="00EE201B">
              <w:rPr>
                <w:lang w:val="en-GB"/>
              </w:rPr>
              <w:tab/>
              <w:t>go beyond the conditions established for the maintenance of the agricultural area in accordance with point (a) of Article 4(1);</w:t>
            </w:r>
          </w:p>
        </w:tc>
        <w:tc>
          <w:tcPr>
            <w:tcW w:w="4876" w:type="dxa"/>
          </w:tcPr>
          <w:p w14:paraId="425F3CEE" w14:textId="77777777" w:rsidR="00480788" w:rsidRPr="001F36C8" w:rsidRDefault="00480788" w:rsidP="0081007B">
            <w:pPr>
              <w:pStyle w:val="Normal6"/>
              <w:rPr>
                <w:szCs w:val="24"/>
                <w:lang w:val="en-GB"/>
              </w:rPr>
            </w:pPr>
            <w:r w:rsidRPr="00EE201B">
              <w:rPr>
                <w:lang w:val="en-GB"/>
              </w:rPr>
              <w:t>(c)</w:t>
            </w:r>
            <w:r w:rsidRPr="00EE201B">
              <w:rPr>
                <w:lang w:val="en-GB"/>
              </w:rPr>
              <w:tab/>
              <w:t>go beyond the conditions established for the maintenance of the agricultural area in accordance with point (a) of Article 4(1);</w:t>
            </w:r>
          </w:p>
        </w:tc>
      </w:tr>
      <w:tr w:rsidR="00480788" w:rsidRPr="001F36C8" w14:paraId="771BADCD" w14:textId="77777777" w:rsidTr="0081007B">
        <w:trPr>
          <w:jc w:val="center"/>
        </w:trPr>
        <w:tc>
          <w:tcPr>
            <w:tcW w:w="4876" w:type="dxa"/>
          </w:tcPr>
          <w:p w14:paraId="5EFAF04C" w14:textId="77777777" w:rsidR="00480788" w:rsidRPr="00EE201B" w:rsidRDefault="00480788" w:rsidP="0081007B">
            <w:pPr>
              <w:pStyle w:val="Normal6"/>
              <w:rPr>
                <w:lang w:val="en-GB"/>
              </w:rPr>
            </w:pPr>
            <w:r w:rsidRPr="00EE201B">
              <w:rPr>
                <w:lang w:val="en-GB"/>
              </w:rPr>
              <w:t>(d)</w:t>
            </w:r>
            <w:r w:rsidRPr="00EE201B">
              <w:rPr>
                <w:lang w:val="en-GB"/>
              </w:rPr>
              <w:tab/>
              <w:t>are different from commitments in respect of which payments are granted under Article 28.</w:t>
            </w:r>
          </w:p>
        </w:tc>
        <w:tc>
          <w:tcPr>
            <w:tcW w:w="4876" w:type="dxa"/>
          </w:tcPr>
          <w:p w14:paraId="5BE18E44" w14:textId="502D2E40" w:rsidR="00480788" w:rsidRPr="001F36C8" w:rsidRDefault="00480788" w:rsidP="0081007B">
            <w:pPr>
              <w:pStyle w:val="Normal6"/>
              <w:rPr>
                <w:lang w:val="en-GB"/>
              </w:rPr>
            </w:pPr>
            <w:r w:rsidRPr="00EE201B">
              <w:rPr>
                <w:lang w:val="en-GB"/>
              </w:rPr>
              <w:t>(d)</w:t>
            </w:r>
            <w:r w:rsidRPr="00EE201B">
              <w:rPr>
                <w:lang w:val="en-GB"/>
              </w:rPr>
              <w:tab/>
              <w:t xml:space="preserve">are different from </w:t>
            </w:r>
            <w:r w:rsidRPr="00F129D1">
              <w:rPr>
                <w:b/>
                <w:i/>
                <w:lang w:val="en-GB"/>
              </w:rPr>
              <w:t>or are complementary to</w:t>
            </w:r>
            <w:r w:rsidRPr="00EE201B">
              <w:rPr>
                <w:lang w:val="en-GB"/>
              </w:rPr>
              <w:t xml:space="preserve"> commitments in respect of which payments are granted under Article 28</w:t>
            </w:r>
            <w:r w:rsidRPr="00F129D1">
              <w:rPr>
                <w:b/>
                <w:i/>
                <w:lang w:val="en-GB"/>
              </w:rPr>
              <w:t>, while ensuring that there is no double-funding</w:t>
            </w:r>
            <w:r w:rsidRPr="00EE201B">
              <w:rPr>
                <w:lang w:val="en-GB"/>
              </w:rPr>
              <w:t>.</w:t>
            </w:r>
          </w:p>
        </w:tc>
      </w:tr>
      <w:tr w:rsidR="00480788" w:rsidRPr="001F36C8" w14:paraId="5D7B4A26" w14:textId="77777777" w:rsidTr="0081007B">
        <w:trPr>
          <w:jc w:val="center"/>
        </w:trPr>
        <w:tc>
          <w:tcPr>
            <w:tcW w:w="4876" w:type="dxa"/>
          </w:tcPr>
          <w:p w14:paraId="7BE78F46" w14:textId="77777777" w:rsidR="00480788" w:rsidRPr="00EE201B" w:rsidRDefault="00480788" w:rsidP="0081007B">
            <w:pPr>
              <w:pStyle w:val="Normal6"/>
              <w:rPr>
                <w:lang w:val="en-GB"/>
              </w:rPr>
            </w:pPr>
            <w:r w:rsidRPr="00EE201B">
              <w:rPr>
                <w:lang w:val="en-GB"/>
              </w:rPr>
              <w:t>6.</w:t>
            </w:r>
            <w:r w:rsidRPr="00EE201B">
              <w:rPr>
                <w:lang w:val="en-GB"/>
              </w:rPr>
              <w:tab/>
              <w:t>Member States shall compensate beneficiaries for costs incurred and income foregone resulting from the commitments made. Where necessary, they may also cover transaction costs. In duly justified cases, Member States may grant support as a flat-rate or as a one- off payment per unit. Payments shall be granted annually.</w:t>
            </w:r>
          </w:p>
        </w:tc>
        <w:tc>
          <w:tcPr>
            <w:tcW w:w="4876" w:type="dxa"/>
          </w:tcPr>
          <w:p w14:paraId="7D706FBB" w14:textId="7113DBF4" w:rsidR="00480788" w:rsidRPr="001F36C8" w:rsidRDefault="00480788" w:rsidP="0081007B">
            <w:pPr>
              <w:pStyle w:val="Normal6"/>
              <w:rPr>
                <w:lang w:val="en-GB"/>
              </w:rPr>
            </w:pPr>
            <w:r w:rsidRPr="00EE201B">
              <w:rPr>
                <w:lang w:val="en-GB"/>
              </w:rPr>
              <w:t>6.</w:t>
            </w:r>
            <w:r w:rsidRPr="00EE201B">
              <w:rPr>
                <w:lang w:val="en-GB"/>
              </w:rPr>
              <w:tab/>
              <w:t xml:space="preserve">Member States shall compensate beneficiaries for costs incurred and income foregone resulting from the commitments made. </w:t>
            </w:r>
            <w:r w:rsidRPr="00F129D1">
              <w:rPr>
                <w:b/>
                <w:i/>
                <w:lang w:val="en-GB"/>
              </w:rPr>
              <w:t>Member States shall also provide a financial incentive to beneficiaries and,</w:t>
            </w:r>
            <w:r w:rsidRPr="00EE201B">
              <w:rPr>
                <w:lang w:val="en-GB"/>
              </w:rPr>
              <w:t xml:space="preserve"> </w:t>
            </w:r>
            <w:proofErr w:type="gramStart"/>
            <w:r w:rsidRPr="00EE201B">
              <w:rPr>
                <w:lang w:val="en-GB"/>
              </w:rPr>
              <w:t>Where</w:t>
            </w:r>
            <w:proofErr w:type="gramEnd"/>
            <w:r w:rsidRPr="00EE201B">
              <w:rPr>
                <w:lang w:val="en-GB"/>
              </w:rPr>
              <w:t xml:space="preserve"> necessary, they may also cover transaction costs. In duly justified cases, Member States may grant support as a flat-rate or as a one- off payment per unit</w:t>
            </w:r>
            <w:r w:rsidRPr="00F129D1">
              <w:rPr>
                <w:b/>
                <w:i/>
                <w:lang w:val="en-GB"/>
              </w:rPr>
              <w:t xml:space="preserve">, </w:t>
            </w:r>
            <w:r w:rsidRPr="00F129D1">
              <w:rPr>
                <w:b/>
                <w:i/>
                <w:lang w:val="en-GB"/>
              </w:rPr>
              <w:lastRenderedPageBreak/>
              <w:t xml:space="preserve">either per hectare of surface </w:t>
            </w:r>
            <w:commentRangeStart w:id="33"/>
            <w:r w:rsidRPr="00626D45">
              <w:rPr>
                <w:b/>
                <w:i/>
                <w:highlight w:val="yellow"/>
                <w:lang w:val="en-GB"/>
              </w:rPr>
              <w:t>or other identified unit depending on the nature of the commitment</w:t>
            </w:r>
            <w:r w:rsidRPr="13CC6356">
              <w:rPr>
                <w:b/>
                <w:bCs/>
                <w:i/>
                <w:iCs/>
                <w:lang w:val="en-GB"/>
              </w:rPr>
              <w:t>.</w:t>
            </w:r>
            <w:commentRangeEnd w:id="33"/>
            <w:r>
              <w:rPr>
                <w:rStyle w:val="CommentReference"/>
              </w:rPr>
              <w:commentReference w:id="33"/>
            </w:r>
            <w:r w:rsidRPr="00F129D1">
              <w:rPr>
                <w:b/>
                <w:i/>
                <w:lang w:val="en-GB"/>
              </w:rPr>
              <w:t xml:space="preserve"> </w:t>
            </w:r>
            <w:r w:rsidRPr="006978C1">
              <w:rPr>
                <w:b/>
                <w:i/>
                <w:highlight w:val="yellow"/>
                <w:lang w:val="en-GB"/>
              </w:rPr>
              <w:t>Member States may grant annual support for whole-farm programs targeted on holistic transformation of farming systems towards the objectives of this paragraph</w:t>
            </w:r>
            <w:r w:rsidRPr="00EE201B">
              <w:rPr>
                <w:lang w:val="en-GB"/>
              </w:rPr>
              <w:t>. Payments shall be granted annually.</w:t>
            </w:r>
          </w:p>
        </w:tc>
      </w:tr>
      <w:tr w:rsidR="00480788" w:rsidRPr="001F36C8" w14:paraId="7DBA129E" w14:textId="77777777" w:rsidTr="0081007B">
        <w:trPr>
          <w:jc w:val="center"/>
        </w:trPr>
        <w:tc>
          <w:tcPr>
            <w:tcW w:w="4876" w:type="dxa"/>
          </w:tcPr>
          <w:p w14:paraId="5DD87F53" w14:textId="77777777" w:rsidR="00480788" w:rsidRPr="00EE201B" w:rsidRDefault="00480788" w:rsidP="0081007B">
            <w:pPr>
              <w:pStyle w:val="Normal6"/>
              <w:rPr>
                <w:lang w:val="en-GB"/>
              </w:rPr>
            </w:pPr>
          </w:p>
        </w:tc>
        <w:tc>
          <w:tcPr>
            <w:tcW w:w="4876" w:type="dxa"/>
          </w:tcPr>
          <w:p w14:paraId="55998617" w14:textId="77777777" w:rsidR="00480788" w:rsidRPr="001F36C8" w:rsidRDefault="00480788" w:rsidP="0081007B">
            <w:pPr>
              <w:pStyle w:val="Normal6"/>
              <w:rPr>
                <w:szCs w:val="24"/>
                <w:lang w:val="en-GB"/>
              </w:rPr>
            </w:pPr>
            <w:r w:rsidRPr="00F129D1">
              <w:rPr>
                <w:b/>
                <w:i/>
                <w:lang w:val="en-GB"/>
              </w:rPr>
              <w:t xml:space="preserve">6 </w:t>
            </w:r>
            <w:proofErr w:type="spellStart"/>
            <w:proofErr w:type="gramStart"/>
            <w:r w:rsidRPr="00F129D1">
              <w:rPr>
                <w:b/>
                <w:i/>
                <w:lang w:val="en-GB"/>
              </w:rPr>
              <w:t>a.The</w:t>
            </w:r>
            <w:proofErr w:type="spellEnd"/>
            <w:proofErr w:type="gramEnd"/>
            <w:r w:rsidRPr="00F129D1">
              <w:rPr>
                <w:b/>
                <w:i/>
                <w:lang w:val="en-GB"/>
              </w:rPr>
              <w:t xml:space="preserve"> level of payments shall vary according to the level of ambition of sustainability of each practice or set of practices, based on non-discriminatory criteria, in order to offer an effective incentive for participation. Member States may also differentiate payments in accordance with the nature of the restrictions affecting agricultural activities as a result of the commitments made, and in line with different farming systems.</w:t>
            </w:r>
          </w:p>
        </w:tc>
      </w:tr>
      <w:tr w:rsidR="00480788" w:rsidRPr="001F36C8" w14:paraId="58AA50AD" w14:textId="77777777" w:rsidTr="0081007B">
        <w:trPr>
          <w:jc w:val="center"/>
        </w:trPr>
        <w:tc>
          <w:tcPr>
            <w:tcW w:w="4876" w:type="dxa"/>
          </w:tcPr>
          <w:p w14:paraId="666937AC" w14:textId="77777777" w:rsidR="00480788" w:rsidRPr="00EE201B" w:rsidRDefault="00480788" w:rsidP="0081007B">
            <w:pPr>
              <w:pStyle w:val="Normal6"/>
              <w:rPr>
                <w:lang w:val="en-GB"/>
              </w:rPr>
            </w:pPr>
            <w:r w:rsidRPr="00EE201B">
              <w:rPr>
                <w:lang w:val="en-GB"/>
              </w:rPr>
              <w:t>7.</w:t>
            </w:r>
            <w:r w:rsidRPr="00EE201B">
              <w:rPr>
                <w:lang w:val="en-GB"/>
              </w:rPr>
              <w:tab/>
              <w:t>Member States may promote and support collective schemes and result-based payments schemes to encourage farmers to deliver a significant enhancement of the quality of the environment at a larger scale and in a measurable way.</w:t>
            </w:r>
          </w:p>
        </w:tc>
        <w:tc>
          <w:tcPr>
            <w:tcW w:w="4876" w:type="dxa"/>
          </w:tcPr>
          <w:p w14:paraId="6D89C07C" w14:textId="77777777" w:rsidR="00480788" w:rsidRPr="001F36C8" w:rsidRDefault="00480788" w:rsidP="0081007B">
            <w:pPr>
              <w:pStyle w:val="Normal6"/>
              <w:rPr>
                <w:szCs w:val="24"/>
                <w:lang w:val="en-GB"/>
              </w:rPr>
            </w:pPr>
            <w:r w:rsidRPr="00EE201B">
              <w:rPr>
                <w:lang w:val="en-GB"/>
              </w:rPr>
              <w:t>7.</w:t>
            </w:r>
            <w:r w:rsidRPr="00EE201B">
              <w:rPr>
                <w:lang w:val="en-GB"/>
              </w:rPr>
              <w:tab/>
              <w:t xml:space="preserve">Member States may promote and support </w:t>
            </w:r>
            <w:r w:rsidRPr="00F129D1">
              <w:rPr>
                <w:b/>
                <w:i/>
                <w:lang w:val="en-GB"/>
              </w:rPr>
              <w:t>voluntary</w:t>
            </w:r>
            <w:r w:rsidRPr="00EE201B">
              <w:rPr>
                <w:lang w:val="en-GB"/>
              </w:rPr>
              <w:t xml:space="preserve"> collective schemes</w:t>
            </w:r>
            <w:r w:rsidRPr="00F129D1">
              <w:rPr>
                <w:b/>
                <w:i/>
                <w:lang w:val="en-GB"/>
              </w:rPr>
              <w:t>, and a combination of management commitments in the form of locally-led schemes,</w:t>
            </w:r>
            <w:r w:rsidRPr="00EE201B">
              <w:rPr>
                <w:lang w:val="en-GB"/>
              </w:rPr>
              <w:t xml:space="preserve"> and result-based payments schemes</w:t>
            </w:r>
            <w:r w:rsidRPr="00F129D1">
              <w:rPr>
                <w:b/>
                <w:i/>
                <w:lang w:val="en-GB"/>
              </w:rPr>
              <w:t>, including through a territorial approach,</w:t>
            </w:r>
            <w:r w:rsidRPr="00EE201B">
              <w:rPr>
                <w:lang w:val="en-GB"/>
              </w:rPr>
              <w:t xml:space="preserve"> to encourage </w:t>
            </w:r>
            <w:r w:rsidRPr="00F129D1">
              <w:rPr>
                <w:b/>
                <w:i/>
                <w:lang w:val="en-GB"/>
              </w:rPr>
              <w:t>farmers and groups of</w:t>
            </w:r>
            <w:r w:rsidRPr="00EE201B">
              <w:rPr>
                <w:lang w:val="en-GB"/>
              </w:rPr>
              <w:t xml:space="preserve"> farmers to deliver a significant enhancement of the quality of the environment at a larger scale and in a measurable way. </w:t>
            </w:r>
            <w:r w:rsidRPr="006627EF">
              <w:rPr>
                <w:b/>
                <w:i/>
                <w:color w:val="00B050"/>
                <w:lang w:val="en-GB"/>
              </w:rPr>
              <w:t>They shall put in place all the means necessary in terms of advice, training and knowledge transfer to assist farmers who change their production systems.</w:t>
            </w:r>
          </w:p>
        </w:tc>
      </w:tr>
      <w:tr w:rsidR="00480788" w:rsidRPr="001F36C8" w14:paraId="7B389D42" w14:textId="77777777" w:rsidTr="0081007B">
        <w:trPr>
          <w:jc w:val="center"/>
        </w:trPr>
        <w:tc>
          <w:tcPr>
            <w:tcW w:w="4876" w:type="dxa"/>
          </w:tcPr>
          <w:p w14:paraId="18E5F1F7" w14:textId="77777777" w:rsidR="00480788" w:rsidRPr="00EE201B" w:rsidRDefault="00480788" w:rsidP="0081007B">
            <w:pPr>
              <w:pStyle w:val="Normal6"/>
              <w:rPr>
                <w:lang w:val="en-GB"/>
              </w:rPr>
            </w:pPr>
            <w:r w:rsidRPr="00EE201B">
              <w:rPr>
                <w:lang w:val="en-GB"/>
              </w:rPr>
              <w:t>8.</w:t>
            </w:r>
            <w:r w:rsidRPr="00EE201B">
              <w:rPr>
                <w:lang w:val="en-GB"/>
              </w:rPr>
              <w:tab/>
              <w:t>Commitments shall be undertaken for a period of five to seven years. However, where necessary in order to achieve or maintain certain environmental benefits sought, Member States may determine a longer period in the CAP Strategic Plan for particular types of commitments, including by means of providing for their annual extension after the termination of the initial period. In exceptional and duly justified cases, and for new commitments directly following the commitment performed in the initial period, Member States may determine a shorter period in their CAP Strategic Plans.</w:t>
            </w:r>
          </w:p>
        </w:tc>
        <w:tc>
          <w:tcPr>
            <w:tcW w:w="4876" w:type="dxa"/>
          </w:tcPr>
          <w:p w14:paraId="48804089" w14:textId="77777777" w:rsidR="00480788" w:rsidRPr="001F36C8" w:rsidRDefault="00480788" w:rsidP="0081007B">
            <w:pPr>
              <w:pStyle w:val="Normal6"/>
              <w:rPr>
                <w:szCs w:val="24"/>
                <w:lang w:val="en-GB"/>
              </w:rPr>
            </w:pPr>
            <w:r w:rsidRPr="00EE201B">
              <w:rPr>
                <w:lang w:val="en-GB"/>
              </w:rPr>
              <w:t>8.</w:t>
            </w:r>
            <w:r w:rsidRPr="00EE201B">
              <w:rPr>
                <w:lang w:val="en-GB"/>
              </w:rPr>
              <w:tab/>
              <w:t xml:space="preserve">Commitments shall be </w:t>
            </w:r>
            <w:r w:rsidRPr="005361E4">
              <w:rPr>
                <w:b/>
                <w:i/>
                <w:highlight w:val="yellow"/>
                <w:lang w:val="en-GB"/>
              </w:rPr>
              <w:t>usually</w:t>
            </w:r>
            <w:r w:rsidRPr="00EE201B">
              <w:rPr>
                <w:lang w:val="en-GB"/>
              </w:rPr>
              <w:t xml:space="preserve"> undertaken for a period of five to seven years. However, where necessary in order to achieve or maintain certain environmental benefits sought</w:t>
            </w:r>
            <w:r w:rsidRPr="00F129D1">
              <w:rPr>
                <w:b/>
                <w:i/>
                <w:lang w:val="en-GB"/>
              </w:rPr>
              <w:t>, including by taking into account the long-term nature of forestry</w:t>
            </w:r>
            <w:r w:rsidRPr="00EE201B">
              <w:rPr>
                <w:lang w:val="en-GB"/>
              </w:rPr>
              <w:t xml:space="preserve">, Member States may determine a longer period in the CAP Strategic Plan for particular types of commitments, including by means of providing for their annual extension after the termination of the initial period. In exceptional and duly justified cases, and for new commitments directly following the commitment performed in the initial period, Member States may determine a </w:t>
            </w:r>
            <w:r w:rsidRPr="00EE201B">
              <w:rPr>
                <w:lang w:val="en-GB"/>
              </w:rPr>
              <w:lastRenderedPageBreak/>
              <w:t>shorter period in their CAP Strategic Plans.</w:t>
            </w:r>
          </w:p>
        </w:tc>
      </w:tr>
      <w:tr w:rsidR="00480788" w:rsidRPr="001F36C8" w14:paraId="40D417E3" w14:textId="77777777" w:rsidTr="0081007B">
        <w:trPr>
          <w:jc w:val="center"/>
        </w:trPr>
        <w:tc>
          <w:tcPr>
            <w:tcW w:w="4876" w:type="dxa"/>
          </w:tcPr>
          <w:p w14:paraId="45F5F6D8" w14:textId="77777777" w:rsidR="00480788" w:rsidRPr="00EE201B" w:rsidRDefault="00480788" w:rsidP="0081007B">
            <w:pPr>
              <w:pStyle w:val="Normal6"/>
              <w:rPr>
                <w:lang w:val="en-GB"/>
              </w:rPr>
            </w:pPr>
            <w:r w:rsidRPr="00EE201B">
              <w:rPr>
                <w:lang w:val="en-GB"/>
              </w:rPr>
              <w:lastRenderedPageBreak/>
              <w:t>9.</w:t>
            </w:r>
            <w:r w:rsidRPr="00EE201B">
              <w:rPr>
                <w:lang w:val="en-GB"/>
              </w:rPr>
              <w:tab/>
              <w:t xml:space="preserve">Where support under this type of interventions is granted to </w:t>
            </w:r>
            <w:proofErr w:type="spellStart"/>
            <w:r w:rsidRPr="00EE201B">
              <w:rPr>
                <w:lang w:val="en-GB"/>
              </w:rPr>
              <w:t>agri</w:t>
            </w:r>
            <w:proofErr w:type="spellEnd"/>
            <w:r w:rsidRPr="00EE201B">
              <w:rPr>
                <w:lang w:val="en-GB"/>
              </w:rPr>
              <w:t>-environment-climate commitments, commitments to convert to or maintain organic farming practices and methods as defined in Regulation (EC) No 834/2007 and forest environmental and climate services, Member States shall establish a payment per hectare.</w:t>
            </w:r>
          </w:p>
        </w:tc>
        <w:tc>
          <w:tcPr>
            <w:tcW w:w="4876" w:type="dxa"/>
          </w:tcPr>
          <w:p w14:paraId="080B9EB4" w14:textId="0F4787AD" w:rsidR="00480788" w:rsidRPr="001F36C8" w:rsidRDefault="00480788" w:rsidP="0081007B">
            <w:pPr>
              <w:pStyle w:val="Normal6"/>
              <w:rPr>
                <w:lang w:val="en-GB"/>
              </w:rPr>
            </w:pPr>
            <w:r w:rsidRPr="00EE201B">
              <w:rPr>
                <w:lang w:val="en-GB"/>
              </w:rPr>
              <w:t>9.</w:t>
            </w:r>
            <w:r w:rsidRPr="00EE201B">
              <w:rPr>
                <w:lang w:val="en-GB"/>
              </w:rPr>
              <w:tab/>
              <w:t xml:space="preserve">Where support under this type of interventions is granted to </w:t>
            </w:r>
            <w:proofErr w:type="spellStart"/>
            <w:r w:rsidRPr="00EE201B">
              <w:rPr>
                <w:lang w:val="en-GB"/>
              </w:rPr>
              <w:t>agri</w:t>
            </w:r>
            <w:proofErr w:type="spellEnd"/>
            <w:r w:rsidRPr="00EE201B">
              <w:rPr>
                <w:lang w:val="en-GB"/>
              </w:rPr>
              <w:t xml:space="preserve">-environment-climate commitments, </w:t>
            </w:r>
            <w:r w:rsidRPr="00480788">
              <w:rPr>
                <w:b/>
                <w:i/>
                <w:lang w:val="en-GB"/>
              </w:rPr>
              <w:t>including</w:t>
            </w:r>
            <w:r w:rsidRPr="00EE201B">
              <w:rPr>
                <w:lang w:val="en-GB"/>
              </w:rPr>
              <w:t xml:space="preserve"> commitments to convert to or maintain organic farming practices and methods as defined in Regulation (EC) No 834/2007</w:t>
            </w:r>
            <w:r w:rsidRPr="00480788">
              <w:rPr>
                <w:b/>
                <w:i/>
                <w:lang w:val="en-GB"/>
              </w:rPr>
              <w:t xml:space="preserve">, </w:t>
            </w:r>
            <w:r w:rsidRPr="00B31F78">
              <w:rPr>
                <w:b/>
                <w:i/>
                <w:highlight w:val="yellow"/>
                <w:lang w:val="en-GB"/>
              </w:rPr>
              <w:t>I</w:t>
            </w:r>
            <w:commentRangeStart w:id="34"/>
            <w:r w:rsidRPr="00B31F78">
              <w:rPr>
                <w:b/>
                <w:i/>
                <w:highlight w:val="yellow"/>
                <w:lang w:val="en-GB"/>
              </w:rPr>
              <w:t>ntegrated Pest Management</w:t>
            </w:r>
            <w:commentRangeEnd w:id="34"/>
            <w:r>
              <w:rPr>
                <w:rStyle w:val="CommentReference"/>
              </w:rPr>
              <w:commentReference w:id="34"/>
            </w:r>
            <w:r w:rsidRPr="00480788">
              <w:rPr>
                <w:b/>
                <w:i/>
                <w:lang w:val="en-GB"/>
              </w:rPr>
              <w:t>, protection of agroforestry systems,</w:t>
            </w:r>
            <w:r w:rsidRPr="00EE201B">
              <w:rPr>
                <w:lang w:val="en-GB"/>
              </w:rPr>
              <w:t xml:space="preserve"> and forest environmental and climate services, Member States shall establish a payment per hectare</w:t>
            </w:r>
            <w:r w:rsidRPr="00480788">
              <w:rPr>
                <w:b/>
                <w:i/>
                <w:lang w:val="en-GB"/>
              </w:rPr>
              <w:t xml:space="preserve">, either per hectare of surface </w:t>
            </w:r>
            <w:commentRangeStart w:id="35"/>
            <w:r w:rsidRPr="00480788">
              <w:rPr>
                <w:b/>
                <w:i/>
                <w:lang w:val="en-GB"/>
              </w:rPr>
              <w:t>or other identified unit</w:t>
            </w:r>
            <w:commentRangeEnd w:id="35"/>
            <w:r>
              <w:rPr>
                <w:rStyle w:val="CommentReference"/>
              </w:rPr>
              <w:commentReference w:id="35"/>
            </w:r>
            <w:r w:rsidRPr="00480788">
              <w:rPr>
                <w:b/>
                <w:i/>
                <w:lang w:val="en-GB"/>
              </w:rPr>
              <w:t xml:space="preserve"> depending on the nature of the commitment</w:t>
            </w:r>
            <w:r w:rsidRPr="00EE201B">
              <w:rPr>
                <w:lang w:val="en-GB"/>
              </w:rPr>
              <w:t>.</w:t>
            </w:r>
          </w:p>
        </w:tc>
      </w:tr>
      <w:tr w:rsidR="00480788" w:rsidRPr="001F36C8" w14:paraId="1B020786" w14:textId="77777777" w:rsidTr="0081007B">
        <w:trPr>
          <w:jc w:val="center"/>
        </w:trPr>
        <w:tc>
          <w:tcPr>
            <w:tcW w:w="4876" w:type="dxa"/>
          </w:tcPr>
          <w:p w14:paraId="23A537A8" w14:textId="77777777" w:rsidR="00480788" w:rsidRPr="00EE201B" w:rsidRDefault="00480788" w:rsidP="0081007B">
            <w:pPr>
              <w:pStyle w:val="Normal6"/>
              <w:rPr>
                <w:lang w:val="en-GB"/>
              </w:rPr>
            </w:pPr>
            <w:r w:rsidRPr="00EE201B">
              <w:rPr>
                <w:lang w:val="en-GB"/>
              </w:rPr>
              <w:t>10.</w:t>
            </w:r>
            <w:r w:rsidRPr="00EE201B">
              <w:rPr>
                <w:lang w:val="en-GB"/>
              </w:rPr>
              <w:tab/>
              <w:t>Member States shall ensure that persons carrying out operations under this type of interventions have access to the knowledge and information required to implement such operations.</w:t>
            </w:r>
          </w:p>
        </w:tc>
        <w:tc>
          <w:tcPr>
            <w:tcW w:w="4876" w:type="dxa"/>
          </w:tcPr>
          <w:p w14:paraId="1454F9DB" w14:textId="77777777" w:rsidR="00480788" w:rsidRPr="001F36C8" w:rsidRDefault="00480788" w:rsidP="0081007B">
            <w:pPr>
              <w:pStyle w:val="Normal6"/>
              <w:rPr>
                <w:szCs w:val="24"/>
                <w:lang w:val="en-GB"/>
              </w:rPr>
            </w:pPr>
            <w:r w:rsidRPr="00EE201B">
              <w:rPr>
                <w:lang w:val="en-GB"/>
              </w:rPr>
              <w:t>10.</w:t>
            </w:r>
            <w:r w:rsidRPr="00EE201B">
              <w:rPr>
                <w:lang w:val="en-GB"/>
              </w:rPr>
              <w:tab/>
              <w:t xml:space="preserve">Member States shall ensure that persons carrying out operations under this type of interventions have access to the </w:t>
            </w:r>
            <w:r w:rsidRPr="00480788">
              <w:rPr>
                <w:b/>
                <w:i/>
                <w:lang w:val="en-GB"/>
              </w:rPr>
              <w:t>relevant</w:t>
            </w:r>
            <w:r w:rsidRPr="00EE201B">
              <w:rPr>
                <w:lang w:val="en-GB"/>
              </w:rPr>
              <w:t xml:space="preserve"> knowledge and information required to implement such operations</w:t>
            </w:r>
            <w:r w:rsidRPr="00480788">
              <w:rPr>
                <w:b/>
                <w:i/>
                <w:lang w:val="en-GB"/>
              </w:rPr>
              <w:t>, and that appropriate training is made available for those who require it, as well as access to expertise in order to assist farmers who commit to change their production systems</w:t>
            </w:r>
            <w:r w:rsidRPr="00EE201B">
              <w:rPr>
                <w:lang w:val="en-GB"/>
              </w:rPr>
              <w:t>.</w:t>
            </w:r>
          </w:p>
        </w:tc>
      </w:tr>
      <w:tr w:rsidR="00480788" w:rsidRPr="001F36C8" w14:paraId="3BA18A46" w14:textId="77777777" w:rsidTr="0081007B">
        <w:trPr>
          <w:jc w:val="center"/>
        </w:trPr>
        <w:tc>
          <w:tcPr>
            <w:tcW w:w="4876" w:type="dxa"/>
          </w:tcPr>
          <w:p w14:paraId="37E765AA" w14:textId="77777777" w:rsidR="00480788" w:rsidRPr="00EE201B" w:rsidRDefault="00480788" w:rsidP="0081007B">
            <w:pPr>
              <w:pStyle w:val="Normal6"/>
              <w:rPr>
                <w:lang w:val="en-GB"/>
              </w:rPr>
            </w:pPr>
            <w:r w:rsidRPr="00EE201B">
              <w:rPr>
                <w:lang w:val="en-GB"/>
              </w:rPr>
              <w:t>11.</w:t>
            </w:r>
            <w:r w:rsidRPr="00EE201B">
              <w:rPr>
                <w:lang w:val="en-GB"/>
              </w:rPr>
              <w:tab/>
              <w:t>Member States shall ensure that interventions under this Article are consistent with those granted under Article 28.</w:t>
            </w:r>
          </w:p>
        </w:tc>
        <w:tc>
          <w:tcPr>
            <w:tcW w:w="4876" w:type="dxa"/>
          </w:tcPr>
          <w:p w14:paraId="4333F742" w14:textId="77777777" w:rsidR="00480788" w:rsidRPr="001F36C8" w:rsidRDefault="00480788" w:rsidP="0081007B">
            <w:pPr>
              <w:pStyle w:val="Normal6"/>
              <w:rPr>
                <w:szCs w:val="24"/>
                <w:lang w:val="en-GB"/>
              </w:rPr>
            </w:pPr>
            <w:r w:rsidRPr="00EE201B">
              <w:rPr>
                <w:lang w:val="en-GB"/>
              </w:rPr>
              <w:t>11.</w:t>
            </w:r>
            <w:r w:rsidRPr="00EE201B">
              <w:rPr>
                <w:lang w:val="en-GB"/>
              </w:rPr>
              <w:tab/>
              <w:t>Member States shall ensure that interventions under this Article are consistent with those granted under Article 28.</w:t>
            </w:r>
          </w:p>
        </w:tc>
      </w:tr>
    </w:tbl>
    <w:p w14:paraId="3F427D77" w14:textId="77777777" w:rsidR="00480788" w:rsidRDefault="00480788" w:rsidP="00480788">
      <w:pPr>
        <w:rPr>
          <w:rStyle w:val="HideTWBExt"/>
          <w:vanish w:val="0"/>
        </w:rPr>
      </w:pPr>
    </w:p>
    <w:p w14:paraId="74D4167E" w14:textId="77777777" w:rsidR="004A6753" w:rsidRPr="00480788" w:rsidRDefault="004A6753" w:rsidP="00480788">
      <w:pPr>
        <w:rPr>
          <w:b/>
        </w:rPr>
      </w:pPr>
      <w:r w:rsidRPr="00480788">
        <w:rPr>
          <w:rStyle w:val="HideTWBExt"/>
          <w:b/>
        </w:rPr>
        <w:t>&lt;Amend&gt;</w:t>
      </w:r>
      <w:r w:rsidR="00A97FC6" w:rsidRPr="00480788">
        <w:rPr>
          <w:b/>
        </w:rPr>
        <w:t>Amendment</w:t>
      </w:r>
      <w:r w:rsidRPr="00480788">
        <w:rPr>
          <w:b/>
        </w:rPr>
        <w:tab/>
      </w:r>
      <w:r w:rsidRPr="00480788">
        <w:rPr>
          <w:b/>
        </w:rPr>
        <w:tab/>
      </w:r>
      <w:r w:rsidRPr="00480788">
        <w:rPr>
          <w:rStyle w:val="HideTWBExt"/>
          <w:b/>
        </w:rPr>
        <w:t>&lt;NumAm&gt;</w:t>
      </w:r>
      <w:r w:rsidR="00480788" w:rsidRPr="00480788">
        <w:rPr>
          <w:b/>
          <w:color w:val="000000"/>
        </w:rPr>
        <w:t>8</w:t>
      </w:r>
      <w:r w:rsidRPr="00480788">
        <w:rPr>
          <w:rStyle w:val="HideTWBExt"/>
          <w:b/>
        </w:rPr>
        <w:t>&lt;/NumAm&gt;</w:t>
      </w:r>
    </w:p>
    <w:p w14:paraId="076FDEEE" w14:textId="77777777" w:rsidR="004A6753" w:rsidRPr="00FF0958" w:rsidRDefault="004A6753" w:rsidP="004A6753">
      <w:pPr>
        <w:pStyle w:val="NormalBold"/>
        <w:rPr>
          <w:lang w:val="en-GB"/>
        </w:rPr>
      </w:pPr>
      <w:r w:rsidRPr="00480788">
        <w:rPr>
          <w:rStyle w:val="HideTWBExt"/>
          <w:lang w:val="en-GB"/>
        </w:rPr>
        <w:t>&lt;RepeatBlock-By&gt;&lt;Members&gt;</w:t>
      </w:r>
      <w:r w:rsidR="0059210F" w:rsidRPr="00480788">
        <w:rPr>
          <w:lang w:val="en-GB"/>
        </w:rPr>
        <w:t xml:space="preserve">Peter </w:t>
      </w:r>
      <w:proofErr w:type="spellStart"/>
      <w:r w:rsidR="0059210F" w:rsidRPr="00480788">
        <w:rPr>
          <w:lang w:val="en-GB"/>
        </w:rPr>
        <w:t>Jahr</w:t>
      </w:r>
      <w:proofErr w:type="spellEnd"/>
      <w:r w:rsidRPr="001F36C8">
        <w:rPr>
          <w:rStyle w:val="HideTWBExt"/>
          <w:b w:val="0"/>
          <w:lang w:val="en-GB"/>
        </w:rPr>
        <w:t>&lt;/Members&gt;</w:t>
      </w:r>
    </w:p>
    <w:p w14:paraId="69C80D60" w14:textId="77777777" w:rsidR="004A6753" w:rsidRPr="00ED66A2" w:rsidRDefault="004A6753" w:rsidP="004A6753">
      <w:r w:rsidRPr="007E6396">
        <w:rPr>
          <w:rStyle w:val="HideTWBExt"/>
        </w:rPr>
        <w:t>&lt;/RepeatBlock-By&gt;</w:t>
      </w:r>
    </w:p>
    <w:p w14:paraId="3AB60F91"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757FF288"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86</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2F5F1648" w14:textId="77777777" w:rsidTr="0081007B">
        <w:trPr>
          <w:jc w:val="center"/>
        </w:trPr>
        <w:tc>
          <w:tcPr>
            <w:tcW w:w="9752" w:type="dxa"/>
            <w:gridSpan w:val="2"/>
          </w:tcPr>
          <w:p w14:paraId="488848D6" w14:textId="77777777" w:rsidR="004A6753" w:rsidRPr="001F36C8" w:rsidRDefault="004A6753" w:rsidP="0081007B">
            <w:pPr>
              <w:keepNext/>
            </w:pPr>
          </w:p>
        </w:tc>
      </w:tr>
      <w:tr w:rsidR="004A6753" w:rsidRPr="001F36C8" w14:paraId="20DF4CE3" w14:textId="77777777" w:rsidTr="0081007B">
        <w:trPr>
          <w:jc w:val="center"/>
        </w:trPr>
        <w:tc>
          <w:tcPr>
            <w:tcW w:w="4876" w:type="dxa"/>
          </w:tcPr>
          <w:p w14:paraId="6DE68824"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4001D1ED" w14:textId="77777777" w:rsidR="004A6753" w:rsidRPr="001F36C8" w:rsidRDefault="004A6753" w:rsidP="0081007B">
            <w:pPr>
              <w:pStyle w:val="ColumnHeading"/>
              <w:keepNext/>
              <w:rPr>
                <w:lang w:val="en-GB"/>
              </w:rPr>
            </w:pPr>
            <w:r w:rsidRPr="001F36C8">
              <w:rPr>
                <w:lang w:val="en-GB"/>
              </w:rPr>
              <w:t>Amendment</w:t>
            </w:r>
          </w:p>
        </w:tc>
      </w:tr>
      <w:tr w:rsidR="004A6753" w:rsidRPr="001F36C8" w14:paraId="46A5578F" w14:textId="77777777" w:rsidTr="0081007B">
        <w:trPr>
          <w:jc w:val="center"/>
        </w:trPr>
        <w:tc>
          <w:tcPr>
            <w:tcW w:w="4876" w:type="dxa"/>
          </w:tcPr>
          <w:p w14:paraId="31956780" w14:textId="77777777" w:rsidR="004A6753" w:rsidRPr="00EE201B" w:rsidRDefault="00EE201B" w:rsidP="0081007B">
            <w:pPr>
              <w:pStyle w:val="Normal6"/>
              <w:rPr>
                <w:lang w:val="en-GB"/>
              </w:rPr>
            </w:pPr>
            <w:r w:rsidRPr="00EE201B">
              <w:rPr>
                <w:lang w:val="en-GB"/>
              </w:rPr>
              <w:t>86</w:t>
            </w:r>
            <w:r w:rsidRPr="00EE201B">
              <w:rPr>
                <w:lang w:val="en-GB"/>
              </w:rPr>
              <w:tab/>
              <w:t>Minimum and maximum financial allocations</w:t>
            </w:r>
          </w:p>
        </w:tc>
        <w:tc>
          <w:tcPr>
            <w:tcW w:w="4876" w:type="dxa"/>
          </w:tcPr>
          <w:p w14:paraId="4BB05478" w14:textId="77777777" w:rsidR="004A6753" w:rsidRPr="001F36C8" w:rsidRDefault="00EE201B" w:rsidP="0081007B">
            <w:pPr>
              <w:pStyle w:val="Normal6"/>
              <w:rPr>
                <w:szCs w:val="24"/>
                <w:lang w:val="en-GB"/>
              </w:rPr>
            </w:pPr>
            <w:r w:rsidRPr="00EE201B">
              <w:rPr>
                <w:lang w:val="en-GB"/>
              </w:rPr>
              <w:t>86</w:t>
            </w:r>
            <w:r w:rsidRPr="00EE201B">
              <w:rPr>
                <w:lang w:val="en-GB"/>
              </w:rPr>
              <w:tab/>
              <w:t>Minimum and maximum financial allocations</w:t>
            </w:r>
          </w:p>
        </w:tc>
      </w:tr>
      <w:tr w:rsidR="004A6753" w:rsidRPr="001F36C8" w14:paraId="7D4FDDB2" w14:textId="77777777" w:rsidTr="0081007B">
        <w:trPr>
          <w:jc w:val="center"/>
        </w:trPr>
        <w:tc>
          <w:tcPr>
            <w:tcW w:w="4876" w:type="dxa"/>
          </w:tcPr>
          <w:p w14:paraId="501CEC3B" w14:textId="77777777" w:rsidR="004A6753" w:rsidRPr="00EE201B" w:rsidRDefault="00EE201B" w:rsidP="0081007B">
            <w:pPr>
              <w:pStyle w:val="Normal6"/>
              <w:rPr>
                <w:lang w:val="en-GB"/>
              </w:rPr>
            </w:pPr>
            <w:r w:rsidRPr="00EE201B">
              <w:rPr>
                <w:lang w:val="en-GB"/>
              </w:rPr>
              <w:t>1.</w:t>
            </w:r>
            <w:r w:rsidRPr="00EE201B">
              <w:rPr>
                <w:lang w:val="en-GB"/>
              </w:rPr>
              <w:tab/>
              <w:t>At least 5 % of the total EAFRD contribution to the CAP Strategic Plan as set out in Annex IX shall be reserved for LEADER, referred to as community-led local development in Article 25 of Regulation (EU) [CPR].</w:t>
            </w:r>
          </w:p>
        </w:tc>
        <w:tc>
          <w:tcPr>
            <w:tcW w:w="4876" w:type="dxa"/>
          </w:tcPr>
          <w:p w14:paraId="009F60C4" w14:textId="77777777" w:rsidR="004A6753" w:rsidRPr="001F36C8" w:rsidRDefault="00EE201B" w:rsidP="0081007B">
            <w:pPr>
              <w:pStyle w:val="Normal6"/>
              <w:rPr>
                <w:szCs w:val="24"/>
                <w:lang w:val="en-GB"/>
              </w:rPr>
            </w:pPr>
            <w:r w:rsidRPr="00EE201B">
              <w:rPr>
                <w:lang w:val="en-GB"/>
              </w:rPr>
              <w:t>1.</w:t>
            </w:r>
            <w:r w:rsidRPr="00EE201B">
              <w:rPr>
                <w:lang w:val="en-GB"/>
              </w:rPr>
              <w:tab/>
              <w:t>At least 5 % of the total EAFRD contribution to the CAP Strategic Plan as set out in Annex IX shall be reserved for LEADER, referred to as community-led local development in Article 25 of Regulation (EU) [CPR].</w:t>
            </w:r>
          </w:p>
        </w:tc>
      </w:tr>
      <w:tr w:rsidR="004A6753" w:rsidRPr="001F36C8" w14:paraId="5201DC62" w14:textId="77777777" w:rsidTr="0081007B">
        <w:trPr>
          <w:jc w:val="center"/>
        </w:trPr>
        <w:tc>
          <w:tcPr>
            <w:tcW w:w="4876" w:type="dxa"/>
          </w:tcPr>
          <w:p w14:paraId="7BF8F318" w14:textId="77777777" w:rsidR="004A6753" w:rsidRPr="00EE201B" w:rsidRDefault="00EE201B" w:rsidP="0081007B">
            <w:pPr>
              <w:pStyle w:val="Normal6"/>
              <w:rPr>
                <w:lang w:val="en-GB"/>
              </w:rPr>
            </w:pPr>
            <w:r w:rsidRPr="00EE201B">
              <w:rPr>
                <w:lang w:val="en-GB"/>
              </w:rPr>
              <w:t>2.</w:t>
            </w:r>
            <w:r w:rsidRPr="00EE201B">
              <w:rPr>
                <w:lang w:val="en-GB"/>
              </w:rPr>
              <w:tab/>
            </w:r>
          </w:p>
        </w:tc>
        <w:tc>
          <w:tcPr>
            <w:tcW w:w="4876" w:type="dxa"/>
          </w:tcPr>
          <w:p w14:paraId="1892C7A6" w14:textId="77777777" w:rsidR="004A6753" w:rsidRPr="001F36C8" w:rsidRDefault="00EE201B" w:rsidP="0081007B">
            <w:pPr>
              <w:pStyle w:val="Normal6"/>
              <w:rPr>
                <w:szCs w:val="24"/>
                <w:lang w:val="en-GB"/>
              </w:rPr>
            </w:pPr>
            <w:r w:rsidRPr="00EE201B">
              <w:rPr>
                <w:lang w:val="en-GB"/>
              </w:rPr>
              <w:t>2.</w:t>
            </w:r>
            <w:r w:rsidRPr="00EE201B">
              <w:rPr>
                <w:lang w:val="en-GB"/>
              </w:rPr>
              <w:tab/>
            </w:r>
          </w:p>
        </w:tc>
      </w:tr>
      <w:tr w:rsidR="004A6753" w:rsidRPr="001F36C8" w14:paraId="7B90CF04" w14:textId="77777777" w:rsidTr="0081007B">
        <w:trPr>
          <w:jc w:val="center"/>
        </w:trPr>
        <w:tc>
          <w:tcPr>
            <w:tcW w:w="4876" w:type="dxa"/>
          </w:tcPr>
          <w:p w14:paraId="2C707478" w14:textId="77777777" w:rsidR="004A6753" w:rsidRPr="00EE201B" w:rsidRDefault="00EE201B" w:rsidP="0081007B">
            <w:pPr>
              <w:pStyle w:val="Normal6"/>
              <w:rPr>
                <w:lang w:val="en-GB"/>
              </w:rPr>
            </w:pPr>
            <w:r w:rsidRPr="00EE201B">
              <w:rPr>
                <w:lang w:val="en-GB"/>
              </w:rPr>
              <w:t xml:space="preserve">At least </w:t>
            </w:r>
            <w:r w:rsidRPr="006D22F9">
              <w:rPr>
                <w:b/>
                <w:i/>
                <w:lang w:val="en-GB"/>
              </w:rPr>
              <w:t>30%</w:t>
            </w:r>
            <w:r w:rsidRPr="00EE201B">
              <w:rPr>
                <w:lang w:val="en-GB"/>
              </w:rPr>
              <w:t xml:space="preserve"> of the total EAFRD contribution to the CAP Strategic Plan as set out in Annex IX shall be reserved for interventions addressing the specific </w:t>
            </w:r>
            <w:r w:rsidRPr="00EE201B">
              <w:rPr>
                <w:lang w:val="en-GB"/>
              </w:rPr>
              <w:lastRenderedPageBreak/>
              <w:t xml:space="preserve">environmental- and climate-related objectives set out in points (d), (e) </w:t>
            </w:r>
            <w:r w:rsidRPr="006D22F9">
              <w:rPr>
                <w:b/>
                <w:i/>
                <w:lang w:val="en-GB"/>
              </w:rPr>
              <w:t>and (f)</w:t>
            </w:r>
            <w:r w:rsidRPr="00EE201B">
              <w:rPr>
                <w:lang w:val="en-GB"/>
              </w:rPr>
              <w:t xml:space="preserve"> of Article 6(1) of this Regulation</w:t>
            </w:r>
            <w:r w:rsidRPr="006D22F9">
              <w:rPr>
                <w:b/>
                <w:i/>
                <w:lang w:val="en-GB"/>
              </w:rPr>
              <w:t>, excluding interventions based on</w:t>
            </w:r>
            <w:r w:rsidRPr="00EE201B">
              <w:rPr>
                <w:lang w:val="en-GB"/>
              </w:rPr>
              <w:t xml:space="preserve"> Article 66.</w:t>
            </w:r>
          </w:p>
        </w:tc>
        <w:tc>
          <w:tcPr>
            <w:tcW w:w="4876" w:type="dxa"/>
          </w:tcPr>
          <w:p w14:paraId="7130E367" w14:textId="7BCF206B" w:rsidR="004A6753" w:rsidRPr="001F36C8" w:rsidRDefault="00EE201B" w:rsidP="0081007B">
            <w:pPr>
              <w:pStyle w:val="Normal6"/>
              <w:rPr>
                <w:lang w:val="en-GB"/>
              </w:rPr>
            </w:pPr>
            <w:r w:rsidRPr="00EE201B">
              <w:rPr>
                <w:lang w:val="en-GB"/>
              </w:rPr>
              <w:lastRenderedPageBreak/>
              <w:t xml:space="preserve">At least </w:t>
            </w:r>
            <w:commentRangeStart w:id="36"/>
            <w:r w:rsidRPr="006D22F9">
              <w:rPr>
                <w:b/>
                <w:i/>
                <w:lang w:val="en-GB"/>
              </w:rPr>
              <w:t>35 %</w:t>
            </w:r>
            <w:commentRangeEnd w:id="36"/>
            <w:r w:rsidR="002035A2">
              <w:rPr>
                <w:rStyle w:val="CommentReference"/>
              </w:rPr>
              <w:commentReference w:id="36"/>
            </w:r>
            <w:r w:rsidRPr="00EE201B">
              <w:rPr>
                <w:lang w:val="en-GB"/>
              </w:rPr>
              <w:t xml:space="preserve"> of the total EAFRD contribution to the CAP Strategic Plan as set out in Annex IX shall be reserved for interventions </w:t>
            </w:r>
            <w:r w:rsidRPr="00607D7D">
              <w:rPr>
                <w:b/>
                <w:i/>
                <w:highlight w:val="yellow"/>
                <w:lang w:val="en-GB"/>
              </w:rPr>
              <w:t>of all types</w:t>
            </w:r>
            <w:r w:rsidRPr="00EE201B">
              <w:rPr>
                <w:lang w:val="en-GB"/>
              </w:rPr>
              <w:t xml:space="preserve"> addressing the </w:t>
            </w:r>
            <w:r w:rsidRPr="00EE201B">
              <w:rPr>
                <w:lang w:val="en-GB"/>
              </w:rPr>
              <w:lastRenderedPageBreak/>
              <w:t>specific environmental- and climate-related objectives set out in points (d), (e)</w:t>
            </w:r>
            <w:r w:rsidRPr="006D22F9">
              <w:rPr>
                <w:b/>
                <w:i/>
                <w:lang w:val="en-GB"/>
              </w:rPr>
              <w:t xml:space="preserve">, (f) </w:t>
            </w:r>
            <w:r w:rsidRPr="00D26148">
              <w:rPr>
                <w:b/>
                <w:i/>
                <w:color w:val="FF0000"/>
                <w:lang w:val="en-GB"/>
              </w:rPr>
              <w:t xml:space="preserve">and </w:t>
            </w:r>
            <w:commentRangeStart w:id="37"/>
            <w:r w:rsidRPr="00D26148">
              <w:rPr>
                <w:b/>
                <w:i/>
                <w:color w:val="FF0000"/>
                <w:lang w:val="en-GB"/>
              </w:rPr>
              <w:t>(</w:t>
            </w:r>
            <w:proofErr w:type="spellStart"/>
            <w:r w:rsidRPr="00D26148">
              <w:rPr>
                <w:b/>
                <w:i/>
                <w:color w:val="FF0000"/>
                <w:lang w:val="en-GB"/>
              </w:rPr>
              <w:t>i</w:t>
            </w:r>
            <w:proofErr w:type="spellEnd"/>
            <w:r w:rsidRPr="006D22F9">
              <w:rPr>
                <w:b/>
                <w:i/>
                <w:lang w:val="en-GB"/>
              </w:rPr>
              <w:t>)</w:t>
            </w:r>
            <w:commentRangeEnd w:id="37"/>
            <w:r>
              <w:rPr>
                <w:rStyle w:val="CommentReference"/>
              </w:rPr>
              <w:commentReference w:id="37"/>
            </w:r>
            <w:r w:rsidRPr="00EE201B">
              <w:rPr>
                <w:lang w:val="en-GB"/>
              </w:rPr>
              <w:t xml:space="preserve"> of Article 6(1) of this Regulation</w:t>
            </w:r>
            <w:r w:rsidRPr="006D22F9">
              <w:rPr>
                <w:b/>
                <w:i/>
                <w:lang w:val="en-GB"/>
              </w:rPr>
              <w:t>.</w:t>
            </w:r>
          </w:p>
        </w:tc>
      </w:tr>
      <w:tr w:rsidR="004A6753" w:rsidRPr="001F36C8" w14:paraId="6E5724C7" w14:textId="77777777" w:rsidTr="0081007B">
        <w:trPr>
          <w:jc w:val="center"/>
        </w:trPr>
        <w:tc>
          <w:tcPr>
            <w:tcW w:w="4876" w:type="dxa"/>
          </w:tcPr>
          <w:p w14:paraId="7D62BC2B" w14:textId="77777777" w:rsidR="004A6753" w:rsidRPr="00EE201B" w:rsidRDefault="004A6753" w:rsidP="0081007B">
            <w:pPr>
              <w:pStyle w:val="Normal6"/>
              <w:rPr>
                <w:lang w:val="en-GB"/>
              </w:rPr>
            </w:pPr>
          </w:p>
        </w:tc>
        <w:tc>
          <w:tcPr>
            <w:tcW w:w="4876" w:type="dxa"/>
          </w:tcPr>
          <w:p w14:paraId="4FD9B73B" w14:textId="647C5509" w:rsidR="004A6753" w:rsidRPr="001F36C8" w:rsidRDefault="00EE201B" w:rsidP="0081007B">
            <w:pPr>
              <w:pStyle w:val="Normal6"/>
              <w:rPr>
                <w:lang w:val="en-GB"/>
              </w:rPr>
            </w:pPr>
            <w:commentRangeStart w:id="38"/>
            <w:r w:rsidRPr="00D26148">
              <w:rPr>
                <w:b/>
                <w:i/>
                <w:color w:val="FF0000"/>
                <w:lang w:val="en-GB"/>
              </w:rPr>
              <w:t>A maximum of 40 % of payments granted in accordance with</w:t>
            </w:r>
            <w:r w:rsidRPr="00D26148">
              <w:rPr>
                <w:color w:val="FF0000"/>
                <w:lang w:val="en-GB"/>
              </w:rPr>
              <w:t xml:space="preserve"> Article 66 </w:t>
            </w:r>
            <w:r w:rsidRPr="00D26148">
              <w:rPr>
                <w:b/>
                <w:i/>
                <w:color w:val="FF0000"/>
                <w:lang w:val="en-GB"/>
              </w:rPr>
              <w:t>may be taken into account for the purposes of calculating the total EAFRD contribution referred to in the first subparagraph</w:t>
            </w:r>
            <w:commentRangeEnd w:id="38"/>
            <w:r>
              <w:rPr>
                <w:rStyle w:val="CommentReference"/>
              </w:rPr>
              <w:commentReference w:id="38"/>
            </w:r>
            <w:r w:rsidRPr="00EE201B">
              <w:rPr>
                <w:lang w:val="en-GB"/>
              </w:rPr>
              <w:t>.</w:t>
            </w:r>
          </w:p>
        </w:tc>
      </w:tr>
      <w:tr w:rsidR="004A6753" w:rsidRPr="001F36C8" w14:paraId="1460346F" w14:textId="77777777" w:rsidTr="0081007B">
        <w:trPr>
          <w:jc w:val="center"/>
        </w:trPr>
        <w:tc>
          <w:tcPr>
            <w:tcW w:w="4876" w:type="dxa"/>
          </w:tcPr>
          <w:p w14:paraId="202AD809" w14:textId="77777777" w:rsidR="004A6753" w:rsidRPr="00EE201B" w:rsidRDefault="00EE201B" w:rsidP="0081007B">
            <w:pPr>
              <w:pStyle w:val="Normal6"/>
              <w:rPr>
                <w:lang w:val="en-GB"/>
              </w:rPr>
            </w:pPr>
            <w:r w:rsidRPr="00EE201B">
              <w:rPr>
                <w:lang w:val="en-GB"/>
              </w:rPr>
              <w:t>The first subparagraph does not apply to the outermost regions.</w:t>
            </w:r>
          </w:p>
        </w:tc>
        <w:tc>
          <w:tcPr>
            <w:tcW w:w="4876" w:type="dxa"/>
          </w:tcPr>
          <w:p w14:paraId="26AEA0EC" w14:textId="77777777" w:rsidR="004A6753" w:rsidRPr="001F36C8" w:rsidRDefault="00EE201B" w:rsidP="0081007B">
            <w:pPr>
              <w:pStyle w:val="Normal6"/>
              <w:rPr>
                <w:szCs w:val="24"/>
                <w:lang w:val="en-GB"/>
              </w:rPr>
            </w:pPr>
            <w:r w:rsidRPr="00EE201B">
              <w:rPr>
                <w:lang w:val="en-GB"/>
              </w:rPr>
              <w:t>The first subparagraph does not apply to the outermost regions.</w:t>
            </w:r>
          </w:p>
        </w:tc>
      </w:tr>
      <w:tr w:rsidR="004A6753" w:rsidRPr="001F36C8" w14:paraId="07D3DA61" w14:textId="77777777" w:rsidTr="0081007B">
        <w:trPr>
          <w:jc w:val="center"/>
        </w:trPr>
        <w:tc>
          <w:tcPr>
            <w:tcW w:w="4876" w:type="dxa"/>
          </w:tcPr>
          <w:p w14:paraId="49C850BA" w14:textId="77777777" w:rsidR="004A6753" w:rsidRPr="00EE201B" w:rsidRDefault="004A6753" w:rsidP="0081007B">
            <w:pPr>
              <w:pStyle w:val="Normal6"/>
              <w:rPr>
                <w:lang w:val="en-GB"/>
              </w:rPr>
            </w:pPr>
          </w:p>
        </w:tc>
        <w:tc>
          <w:tcPr>
            <w:tcW w:w="4876" w:type="dxa"/>
          </w:tcPr>
          <w:p w14:paraId="24CDD793" w14:textId="389D156C" w:rsidR="004A6753" w:rsidRPr="001F36C8" w:rsidRDefault="00EE201B" w:rsidP="0081007B">
            <w:pPr>
              <w:pStyle w:val="Normal6"/>
              <w:rPr>
                <w:lang w:val="en-GB"/>
              </w:rPr>
            </w:pPr>
            <w:r w:rsidRPr="006D22F9">
              <w:rPr>
                <w:b/>
                <w:i/>
                <w:lang w:val="en-GB"/>
              </w:rPr>
              <w:t xml:space="preserve">2 </w:t>
            </w:r>
            <w:proofErr w:type="spellStart"/>
            <w:proofErr w:type="gramStart"/>
            <w:r w:rsidRPr="006D22F9">
              <w:rPr>
                <w:b/>
                <w:i/>
                <w:lang w:val="en-GB"/>
              </w:rPr>
              <w:t>a.</w:t>
            </w:r>
            <w:commentRangeStart w:id="39"/>
            <w:r w:rsidRPr="00610883">
              <w:rPr>
                <w:b/>
                <w:i/>
                <w:color w:val="FF0000"/>
                <w:lang w:val="en-GB"/>
              </w:rPr>
              <w:t>At</w:t>
            </w:r>
            <w:proofErr w:type="spellEnd"/>
            <w:proofErr w:type="gramEnd"/>
            <w:r w:rsidRPr="00610883">
              <w:rPr>
                <w:b/>
                <w:i/>
                <w:color w:val="FF0000"/>
                <w:lang w:val="en-GB"/>
              </w:rPr>
              <w:t xml:space="preserve"> least 30 % of the total EAFRD contribution to the CAP strategic plan as set out in Annex IX shall be reserved for interventions under </w:t>
            </w:r>
            <w:commentRangeEnd w:id="39"/>
            <w:r w:rsidR="00027D7C">
              <w:rPr>
                <w:rStyle w:val="CommentReference"/>
                <w:lang w:val="en-GB"/>
              </w:rPr>
              <w:commentReference w:id="39"/>
            </w:r>
            <w:commentRangeStart w:id="40"/>
            <w:r w:rsidRPr="00610883">
              <w:rPr>
                <w:b/>
                <w:i/>
                <w:color w:val="FF0000"/>
                <w:lang w:val="en-GB"/>
              </w:rPr>
              <w:t>Articles 68, 70</w:t>
            </w:r>
            <w:r w:rsidRPr="006D22F9">
              <w:rPr>
                <w:b/>
                <w:i/>
                <w:lang w:val="en-GB"/>
              </w:rPr>
              <w:t>, 71 and 72</w:t>
            </w:r>
            <w:commentRangeEnd w:id="40"/>
            <w:r>
              <w:rPr>
                <w:rStyle w:val="CommentReference"/>
              </w:rPr>
              <w:commentReference w:id="40"/>
            </w:r>
            <w:r w:rsidRPr="006D22F9">
              <w:rPr>
                <w:b/>
                <w:i/>
                <w:lang w:val="en-GB"/>
              </w:rPr>
              <w:t xml:space="preserve"> for specific objectives aimed at fostering the development of an intelligent, resilient and diversified agricultural sector as defined in points (a), (b) and (c) of Article 6(1) of this Regulation</w:t>
            </w:r>
          </w:p>
        </w:tc>
      </w:tr>
      <w:tr w:rsidR="004A6753" w:rsidRPr="001F36C8" w14:paraId="16BDFD2A" w14:textId="77777777" w:rsidTr="0081007B">
        <w:trPr>
          <w:jc w:val="center"/>
        </w:trPr>
        <w:tc>
          <w:tcPr>
            <w:tcW w:w="4876" w:type="dxa"/>
          </w:tcPr>
          <w:p w14:paraId="656D62A6" w14:textId="77777777" w:rsidR="004A6753" w:rsidRPr="00EE201B" w:rsidRDefault="00EE201B" w:rsidP="0081007B">
            <w:pPr>
              <w:pStyle w:val="Normal6"/>
              <w:rPr>
                <w:lang w:val="en-GB"/>
              </w:rPr>
            </w:pPr>
            <w:r w:rsidRPr="00EE201B">
              <w:rPr>
                <w:lang w:val="en-GB"/>
              </w:rPr>
              <w:t>3.</w:t>
            </w:r>
            <w:r w:rsidRPr="00EE201B">
              <w:rPr>
                <w:lang w:val="en-GB"/>
              </w:rPr>
              <w:tab/>
            </w:r>
          </w:p>
        </w:tc>
        <w:tc>
          <w:tcPr>
            <w:tcW w:w="4876" w:type="dxa"/>
          </w:tcPr>
          <w:p w14:paraId="306E68FA" w14:textId="77777777" w:rsidR="004A6753" w:rsidRPr="001F36C8" w:rsidRDefault="00EE201B" w:rsidP="0081007B">
            <w:pPr>
              <w:pStyle w:val="Normal6"/>
              <w:rPr>
                <w:szCs w:val="24"/>
                <w:lang w:val="en-GB"/>
              </w:rPr>
            </w:pPr>
            <w:r w:rsidRPr="00EE201B">
              <w:rPr>
                <w:lang w:val="en-GB"/>
              </w:rPr>
              <w:t>3.</w:t>
            </w:r>
            <w:r w:rsidRPr="00EE201B">
              <w:rPr>
                <w:lang w:val="en-GB"/>
              </w:rPr>
              <w:tab/>
            </w:r>
          </w:p>
        </w:tc>
      </w:tr>
      <w:tr w:rsidR="004A6753" w:rsidRPr="001F36C8" w14:paraId="500BC47C" w14:textId="77777777" w:rsidTr="0081007B">
        <w:trPr>
          <w:jc w:val="center"/>
        </w:trPr>
        <w:tc>
          <w:tcPr>
            <w:tcW w:w="4876" w:type="dxa"/>
          </w:tcPr>
          <w:p w14:paraId="11A5EC88" w14:textId="77777777" w:rsidR="004A6753" w:rsidRPr="00EE201B" w:rsidRDefault="00EE201B" w:rsidP="0081007B">
            <w:pPr>
              <w:pStyle w:val="Normal6"/>
              <w:rPr>
                <w:lang w:val="en-GB"/>
              </w:rPr>
            </w:pPr>
            <w:r w:rsidRPr="00EE201B">
              <w:rPr>
                <w:lang w:val="en-GB"/>
              </w:rPr>
              <w:t>A maximum 4 % of the total EAFRD contribution to the CAP Strategic Plan as set out in Annex IX may be used to finance the actions of technical assistance at the initiative of the Member States referred to in Article 112.</w:t>
            </w:r>
          </w:p>
        </w:tc>
        <w:tc>
          <w:tcPr>
            <w:tcW w:w="4876" w:type="dxa"/>
          </w:tcPr>
          <w:p w14:paraId="256FE0B2" w14:textId="77777777" w:rsidR="004A6753" w:rsidRPr="001F36C8" w:rsidRDefault="00EE201B" w:rsidP="0081007B">
            <w:pPr>
              <w:pStyle w:val="Normal6"/>
              <w:rPr>
                <w:szCs w:val="24"/>
                <w:lang w:val="en-GB"/>
              </w:rPr>
            </w:pPr>
            <w:r w:rsidRPr="00EE201B">
              <w:rPr>
                <w:lang w:val="en-GB"/>
              </w:rPr>
              <w:t>A maximum 4 % of the total EAFRD contribution to the CAP Strategic Plan as set out in Annex IX may be used to finance the actions of technical assistance at the initiative of the Member States referred to in Article 112.</w:t>
            </w:r>
          </w:p>
        </w:tc>
      </w:tr>
      <w:tr w:rsidR="004A6753" w:rsidRPr="001F36C8" w14:paraId="617A4823" w14:textId="77777777" w:rsidTr="0081007B">
        <w:trPr>
          <w:jc w:val="center"/>
        </w:trPr>
        <w:tc>
          <w:tcPr>
            <w:tcW w:w="4876" w:type="dxa"/>
          </w:tcPr>
          <w:p w14:paraId="6E7DAF3F" w14:textId="77777777" w:rsidR="004A6753" w:rsidRPr="00EE201B" w:rsidRDefault="00EE201B" w:rsidP="0081007B">
            <w:pPr>
              <w:pStyle w:val="Normal6"/>
              <w:rPr>
                <w:lang w:val="en-GB"/>
              </w:rPr>
            </w:pPr>
            <w:r w:rsidRPr="00EE201B">
              <w:rPr>
                <w:lang w:val="en-GB"/>
              </w:rPr>
              <w:t>The EAFRD contribution may be increased to 6% for CAP Strategic plans where the total amount of Union support for rural development is up to EUR 90 million.</w:t>
            </w:r>
          </w:p>
        </w:tc>
        <w:tc>
          <w:tcPr>
            <w:tcW w:w="4876" w:type="dxa"/>
          </w:tcPr>
          <w:p w14:paraId="66B8FACC" w14:textId="77777777" w:rsidR="004A6753" w:rsidRPr="001F36C8" w:rsidRDefault="00EE201B" w:rsidP="0081007B">
            <w:pPr>
              <w:pStyle w:val="Normal6"/>
              <w:rPr>
                <w:szCs w:val="24"/>
                <w:lang w:val="en-GB"/>
              </w:rPr>
            </w:pPr>
            <w:r w:rsidRPr="00EE201B">
              <w:rPr>
                <w:lang w:val="en-GB"/>
              </w:rPr>
              <w:t>The EAFRD contribution may be increased to 6% for CAP Strategic plans where the total amount of Union support for rural development is up to EUR 90 million.</w:t>
            </w:r>
          </w:p>
        </w:tc>
      </w:tr>
      <w:tr w:rsidR="004A6753" w:rsidRPr="001F36C8" w14:paraId="71C9E4EB" w14:textId="77777777" w:rsidTr="0081007B">
        <w:trPr>
          <w:jc w:val="center"/>
        </w:trPr>
        <w:tc>
          <w:tcPr>
            <w:tcW w:w="4876" w:type="dxa"/>
          </w:tcPr>
          <w:p w14:paraId="2B2E535D" w14:textId="77777777" w:rsidR="004A6753" w:rsidRPr="00EE201B" w:rsidRDefault="00EE201B" w:rsidP="0081007B">
            <w:pPr>
              <w:pStyle w:val="Normal6"/>
              <w:rPr>
                <w:lang w:val="en-GB"/>
              </w:rPr>
            </w:pPr>
            <w:r w:rsidRPr="00EE201B">
              <w:rPr>
                <w:lang w:val="en-GB"/>
              </w:rPr>
              <w:t>Technical assistance shall be reimbursed as a flat-rate financing following Article 125(1)(e) of Regulation (EU/Euratom …/</w:t>
            </w:r>
            <w:proofErr w:type="gramStart"/>
            <w:r w:rsidRPr="00EE201B">
              <w:rPr>
                <w:lang w:val="en-GB"/>
              </w:rPr>
              <w:t>…[</w:t>
            </w:r>
            <w:proofErr w:type="gramEnd"/>
            <w:r w:rsidRPr="00EE201B">
              <w:rPr>
                <w:lang w:val="en-GB"/>
              </w:rPr>
              <w:t>new Financial Regulation] in the framework of interim payments pursuant to Article 30 of Regulation (EU) [HZR]. This flat-rate shall represent the percentage set in the CAP Strategic Plan for technical assistance of the total expenditure declared.</w:t>
            </w:r>
          </w:p>
        </w:tc>
        <w:tc>
          <w:tcPr>
            <w:tcW w:w="4876" w:type="dxa"/>
          </w:tcPr>
          <w:p w14:paraId="2B40D8CC" w14:textId="77777777" w:rsidR="004A6753" w:rsidRPr="001F36C8" w:rsidRDefault="00EE201B" w:rsidP="0081007B">
            <w:pPr>
              <w:pStyle w:val="Normal6"/>
              <w:rPr>
                <w:szCs w:val="24"/>
                <w:lang w:val="en-GB"/>
              </w:rPr>
            </w:pPr>
            <w:r w:rsidRPr="00EE201B">
              <w:rPr>
                <w:lang w:val="en-GB"/>
              </w:rPr>
              <w:t>Technical assistance shall be reimbursed as a flat-rate financing following Article 125(1)(e) of Regulation (EU/Euratom …/</w:t>
            </w:r>
            <w:proofErr w:type="gramStart"/>
            <w:r w:rsidRPr="00EE201B">
              <w:rPr>
                <w:lang w:val="en-GB"/>
              </w:rPr>
              <w:t>…[</w:t>
            </w:r>
            <w:proofErr w:type="gramEnd"/>
            <w:r w:rsidRPr="00EE201B">
              <w:rPr>
                <w:lang w:val="en-GB"/>
              </w:rPr>
              <w:t>new Financial Regulation] in the framework of interim payments pursuant to Article 30 of Regulation (EU) [HZR]. This flat-rate shall represent the percentage set in the CAP Strategic Plan for technical assistance of the total expenditure declared.</w:t>
            </w:r>
          </w:p>
        </w:tc>
      </w:tr>
      <w:tr w:rsidR="004A6753" w:rsidRPr="001F36C8" w14:paraId="396079DB" w14:textId="77777777" w:rsidTr="0081007B">
        <w:trPr>
          <w:jc w:val="center"/>
        </w:trPr>
        <w:tc>
          <w:tcPr>
            <w:tcW w:w="4876" w:type="dxa"/>
          </w:tcPr>
          <w:p w14:paraId="69601144" w14:textId="77777777" w:rsidR="004A6753" w:rsidRPr="00EE201B" w:rsidRDefault="00EE201B" w:rsidP="0081007B">
            <w:pPr>
              <w:pStyle w:val="Normal6"/>
              <w:rPr>
                <w:lang w:val="en-GB"/>
              </w:rPr>
            </w:pPr>
            <w:r w:rsidRPr="00EE201B">
              <w:rPr>
                <w:lang w:val="en-GB"/>
              </w:rPr>
              <w:t>4.</w:t>
            </w:r>
            <w:r w:rsidRPr="00EE201B">
              <w:rPr>
                <w:lang w:val="en-GB"/>
              </w:rPr>
              <w:tab/>
            </w:r>
            <w:r w:rsidRPr="006D22F9">
              <w:rPr>
                <w:b/>
                <w:i/>
                <w:lang w:val="en-GB"/>
              </w:rPr>
              <w:t>For each</w:t>
            </w:r>
            <w:r w:rsidRPr="00EE201B">
              <w:rPr>
                <w:lang w:val="en-GB"/>
              </w:rPr>
              <w:t xml:space="preserve"> Member </w:t>
            </w:r>
            <w:r w:rsidRPr="006D22F9">
              <w:rPr>
                <w:b/>
                <w:i/>
                <w:lang w:val="en-GB"/>
              </w:rPr>
              <w:t>State the minimum amount</w:t>
            </w:r>
            <w:r w:rsidRPr="00EE201B">
              <w:rPr>
                <w:lang w:val="en-GB"/>
              </w:rPr>
              <w:t xml:space="preserve"> set out in Annex X </w:t>
            </w:r>
            <w:r w:rsidRPr="006D22F9">
              <w:rPr>
                <w:b/>
                <w:i/>
                <w:lang w:val="en-GB"/>
              </w:rPr>
              <w:t>shall be reserved for contributing to the specific objective 'attract</w:t>
            </w:r>
            <w:r w:rsidRPr="00EE201B">
              <w:rPr>
                <w:lang w:val="en-GB"/>
              </w:rPr>
              <w:t xml:space="preserve"> young farmers </w:t>
            </w:r>
            <w:r w:rsidRPr="006D22F9">
              <w:rPr>
                <w:b/>
                <w:i/>
                <w:lang w:val="en-GB"/>
              </w:rPr>
              <w:t>and facilitate business development' set out in point (g) of</w:t>
            </w:r>
            <w:r w:rsidRPr="00EE201B">
              <w:rPr>
                <w:lang w:val="en-GB"/>
              </w:rPr>
              <w:t xml:space="preserve"> Article </w:t>
            </w:r>
            <w:r w:rsidRPr="006D22F9">
              <w:rPr>
                <w:b/>
                <w:i/>
                <w:lang w:val="en-GB"/>
              </w:rPr>
              <w:t xml:space="preserve">6(1). On the basis of the analysis of the situation in terms of </w:t>
            </w:r>
            <w:r w:rsidRPr="006D22F9">
              <w:rPr>
                <w:b/>
                <w:i/>
                <w:lang w:val="en-GB"/>
              </w:rPr>
              <w:lastRenderedPageBreak/>
              <w:t>strengths, weaknesses, opportunities and threats ('the SWOT analysis') and the identification of the needs that are to be addressed, the amount shall be used for the following types of interventions:</w:t>
            </w:r>
          </w:p>
        </w:tc>
        <w:tc>
          <w:tcPr>
            <w:tcW w:w="4876" w:type="dxa"/>
          </w:tcPr>
          <w:p w14:paraId="25834E53" w14:textId="77777777" w:rsidR="004A6753" w:rsidRPr="001F36C8" w:rsidRDefault="00EE201B" w:rsidP="0081007B">
            <w:pPr>
              <w:pStyle w:val="Normal6"/>
              <w:rPr>
                <w:szCs w:val="24"/>
                <w:lang w:val="en-GB"/>
              </w:rPr>
            </w:pPr>
            <w:r w:rsidRPr="00EE201B">
              <w:rPr>
                <w:lang w:val="en-GB"/>
              </w:rPr>
              <w:lastRenderedPageBreak/>
              <w:t>4.</w:t>
            </w:r>
            <w:r w:rsidRPr="00EE201B">
              <w:rPr>
                <w:lang w:val="en-GB"/>
              </w:rPr>
              <w:tab/>
              <w:t xml:space="preserve">Member </w:t>
            </w:r>
            <w:r w:rsidRPr="006D22F9">
              <w:rPr>
                <w:b/>
                <w:i/>
                <w:lang w:val="en-GB"/>
              </w:rPr>
              <w:t>States shall reserve at least the amounts</w:t>
            </w:r>
            <w:r w:rsidRPr="00EE201B">
              <w:rPr>
                <w:lang w:val="en-GB"/>
              </w:rPr>
              <w:t xml:space="preserve"> set out in Annex X </w:t>
            </w:r>
            <w:r w:rsidRPr="006D22F9">
              <w:rPr>
                <w:b/>
                <w:i/>
                <w:lang w:val="en-GB"/>
              </w:rPr>
              <w:t>for the complementary income support for</w:t>
            </w:r>
            <w:r w:rsidRPr="00EE201B">
              <w:rPr>
                <w:lang w:val="en-GB"/>
              </w:rPr>
              <w:t xml:space="preserve"> young farmers </w:t>
            </w:r>
            <w:r w:rsidRPr="006D22F9">
              <w:rPr>
                <w:b/>
                <w:i/>
                <w:lang w:val="en-GB"/>
              </w:rPr>
              <w:t>as laid down in</w:t>
            </w:r>
            <w:r w:rsidRPr="00EE201B">
              <w:rPr>
                <w:lang w:val="en-GB"/>
              </w:rPr>
              <w:t xml:space="preserve"> Article </w:t>
            </w:r>
            <w:r w:rsidRPr="006D22F9">
              <w:rPr>
                <w:b/>
                <w:i/>
                <w:lang w:val="en-GB"/>
              </w:rPr>
              <w:t>27</w:t>
            </w:r>
          </w:p>
        </w:tc>
      </w:tr>
      <w:tr w:rsidR="004A6753" w:rsidRPr="001F36C8" w14:paraId="29AD545B" w14:textId="77777777" w:rsidTr="0081007B">
        <w:trPr>
          <w:jc w:val="center"/>
        </w:trPr>
        <w:tc>
          <w:tcPr>
            <w:tcW w:w="4876" w:type="dxa"/>
          </w:tcPr>
          <w:p w14:paraId="452F86C6" w14:textId="77777777" w:rsidR="004A6753" w:rsidRPr="00EE201B" w:rsidRDefault="00EE201B" w:rsidP="0081007B">
            <w:pPr>
              <w:pStyle w:val="Normal6"/>
              <w:rPr>
                <w:lang w:val="en-GB"/>
              </w:rPr>
            </w:pPr>
            <w:r w:rsidRPr="006D22F9">
              <w:rPr>
                <w:b/>
                <w:i/>
                <w:lang w:val="en-GB"/>
              </w:rPr>
              <w:t>(a)</w:t>
            </w:r>
            <w:r w:rsidRPr="00EE201B">
              <w:rPr>
                <w:lang w:val="en-GB"/>
              </w:rPr>
              <w:t xml:space="preserve"> </w:t>
            </w:r>
            <w:r w:rsidRPr="006D22F9">
              <w:rPr>
                <w:b/>
                <w:i/>
                <w:lang w:val="en-GB"/>
              </w:rPr>
              <w:t>the Complementary Income Support for Young Farmer as laid down in Article 27;</w:t>
            </w:r>
          </w:p>
        </w:tc>
        <w:tc>
          <w:tcPr>
            <w:tcW w:w="4876" w:type="dxa"/>
          </w:tcPr>
          <w:p w14:paraId="4B5226F5" w14:textId="77777777" w:rsidR="004A6753" w:rsidRPr="001F36C8" w:rsidRDefault="004A6753" w:rsidP="0081007B">
            <w:pPr>
              <w:pStyle w:val="Normal6"/>
              <w:rPr>
                <w:szCs w:val="24"/>
                <w:lang w:val="en-GB"/>
              </w:rPr>
            </w:pPr>
          </w:p>
        </w:tc>
      </w:tr>
      <w:tr w:rsidR="004A6753" w:rsidRPr="001F36C8" w14:paraId="16F4F982" w14:textId="77777777" w:rsidTr="0081007B">
        <w:trPr>
          <w:jc w:val="center"/>
        </w:trPr>
        <w:tc>
          <w:tcPr>
            <w:tcW w:w="4876" w:type="dxa"/>
          </w:tcPr>
          <w:p w14:paraId="7989E83E" w14:textId="77777777" w:rsidR="004A6753" w:rsidRPr="00EE201B" w:rsidRDefault="00EE201B" w:rsidP="0081007B">
            <w:pPr>
              <w:pStyle w:val="Normal6"/>
              <w:rPr>
                <w:lang w:val="en-GB"/>
              </w:rPr>
            </w:pPr>
            <w:r w:rsidRPr="006D22F9">
              <w:rPr>
                <w:b/>
                <w:i/>
                <w:lang w:val="en-GB"/>
              </w:rPr>
              <w:t>(b)</w:t>
            </w:r>
            <w:r w:rsidRPr="00EE201B">
              <w:rPr>
                <w:lang w:val="en-GB"/>
              </w:rPr>
              <w:t xml:space="preserve"> </w:t>
            </w:r>
            <w:r w:rsidRPr="006D22F9">
              <w:rPr>
                <w:b/>
                <w:i/>
                <w:lang w:val="en-GB"/>
              </w:rPr>
              <w:t>the installation of young farmers referred to in Article 69.</w:t>
            </w:r>
          </w:p>
        </w:tc>
        <w:tc>
          <w:tcPr>
            <w:tcW w:w="4876" w:type="dxa"/>
          </w:tcPr>
          <w:p w14:paraId="3A9F93C7" w14:textId="77777777" w:rsidR="004A6753" w:rsidRPr="001F36C8" w:rsidRDefault="004A6753" w:rsidP="0081007B">
            <w:pPr>
              <w:pStyle w:val="Normal6"/>
              <w:rPr>
                <w:szCs w:val="24"/>
                <w:lang w:val="en-GB"/>
              </w:rPr>
            </w:pPr>
          </w:p>
        </w:tc>
      </w:tr>
      <w:tr w:rsidR="004A6753" w:rsidRPr="001F36C8" w14:paraId="34FC05EB" w14:textId="77777777" w:rsidTr="0081007B">
        <w:trPr>
          <w:jc w:val="center"/>
        </w:trPr>
        <w:tc>
          <w:tcPr>
            <w:tcW w:w="4876" w:type="dxa"/>
          </w:tcPr>
          <w:p w14:paraId="4F14BD41" w14:textId="77777777" w:rsidR="004A6753" w:rsidRPr="00EE201B" w:rsidRDefault="004A6753" w:rsidP="0081007B">
            <w:pPr>
              <w:pStyle w:val="Normal6"/>
              <w:rPr>
                <w:lang w:val="en-GB"/>
              </w:rPr>
            </w:pPr>
          </w:p>
        </w:tc>
        <w:tc>
          <w:tcPr>
            <w:tcW w:w="4876" w:type="dxa"/>
          </w:tcPr>
          <w:p w14:paraId="69AD35F6" w14:textId="0556CC26" w:rsidR="004A6753" w:rsidRPr="00F57823" w:rsidRDefault="00EE201B" w:rsidP="0081007B">
            <w:pPr>
              <w:pStyle w:val="Normal6"/>
              <w:rPr>
                <w:color w:val="FF0000"/>
                <w:lang w:val="en-GB"/>
              </w:rPr>
            </w:pPr>
            <w:r w:rsidRPr="00F57823">
              <w:rPr>
                <w:b/>
                <w:i/>
                <w:color w:val="FF0000"/>
                <w:lang w:val="en-GB"/>
              </w:rPr>
              <w:t xml:space="preserve">4 </w:t>
            </w:r>
            <w:proofErr w:type="spellStart"/>
            <w:proofErr w:type="gramStart"/>
            <w:r w:rsidRPr="00F57823">
              <w:rPr>
                <w:b/>
                <w:i/>
                <w:color w:val="FF0000"/>
                <w:lang w:val="en-GB"/>
              </w:rPr>
              <w:t>a.</w:t>
            </w:r>
            <w:commentRangeStart w:id="41"/>
            <w:r w:rsidRPr="00F57823">
              <w:rPr>
                <w:b/>
                <w:i/>
                <w:color w:val="FF0000"/>
                <w:lang w:val="en-GB"/>
              </w:rPr>
              <w:t>Member</w:t>
            </w:r>
            <w:proofErr w:type="spellEnd"/>
            <w:proofErr w:type="gramEnd"/>
            <w:r w:rsidRPr="00F57823">
              <w:rPr>
                <w:b/>
                <w:i/>
                <w:color w:val="FF0000"/>
                <w:lang w:val="en-GB"/>
              </w:rPr>
              <w:t xml:space="preserve"> States shall reserve at least 60% of the amounts laid down in Annex VII</w:t>
            </w:r>
            <w:commentRangeEnd w:id="41"/>
            <w:r w:rsidR="00F57823">
              <w:rPr>
                <w:rStyle w:val="CommentReference"/>
              </w:rPr>
              <w:commentReference w:id="41"/>
            </w:r>
            <w:r w:rsidRPr="00F57823">
              <w:rPr>
                <w:b/>
                <w:i/>
                <w:color w:val="FF0000"/>
                <w:lang w:val="en-GB"/>
              </w:rPr>
              <w:t xml:space="preserve"> for:</w:t>
            </w:r>
          </w:p>
        </w:tc>
      </w:tr>
      <w:tr w:rsidR="004A6753" w:rsidRPr="001F36C8" w14:paraId="243ED1BE" w14:textId="77777777" w:rsidTr="0081007B">
        <w:trPr>
          <w:jc w:val="center"/>
        </w:trPr>
        <w:tc>
          <w:tcPr>
            <w:tcW w:w="4876" w:type="dxa"/>
          </w:tcPr>
          <w:p w14:paraId="437BE342" w14:textId="77777777" w:rsidR="004A6753" w:rsidRPr="00EE201B" w:rsidRDefault="004A6753" w:rsidP="0081007B">
            <w:pPr>
              <w:pStyle w:val="Normal6"/>
              <w:rPr>
                <w:lang w:val="en-GB"/>
              </w:rPr>
            </w:pPr>
          </w:p>
        </w:tc>
        <w:tc>
          <w:tcPr>
            <w:tcW w:w="4876" w:type="dxa"/>
          </w:tcPr>
          <w:p w14:paraId="02CA417C" w14:textId="77777777" w:rsidR="004A6753" w:rsidRPr="00F57823" w:rsidRDefault="00EE201B" w:rsidP="0081007B">
            <w:pPr>
              <w:pStyle w:val="Normal6"/>
              <w:rPr>
                <w:color w:val="FF0000"/>
                <w:szCs w:val="24"/>
                <w:lang w:val="en-GB"/>
              </w:rPr>
            </w:pPr>
            <w:r w:rsidRPr="00F57823">
              <w:rPr>
                <w:b/>
                <w:i/>
                <w:color w:val="FF0000"/>
                <w:lang w:val="en-GB"/>
              </w:rPr>
              <w:t>(a) basic income support for sustainability as referred to in subsections 2 of Chapter II of Title III;</w:t>
            </w:r>
          </w:p>
        </w:tc>
      </w:tr>
      <w:tr w:rsidR="004A6753" w:rsidRPr="001F36C8" w14:paraId="40EA29FC" w14:textId="77777777" w:rsidTr="0081007B">
        <w:trPr>
          <w:jc w:val="center"/>
        </w:trPr>
        <w:tc>
          <w:tcPr>
            <w:tcW w:w="4876" w:type="dxa"/>
          </w:tcPr>
          <w:p w14:paraId="19013980" w14:textId="77777777" w:rsidR="004A6753" w:rsidRPr="00EE201B" w:rsidRDefault="004A6753" w:rsidP="0081007B">
            <w:pPr>
              <w:pStyle w:val="Normal6"/>
              <w:rPr>
                <w:lang w:val="en-GB"/>
              </w:rPr>
            </w:pPr>
          </w:p>
        </w:tc>
        <w:tc>
          <w:tcPr>
            <w:tcW w:w="4876" w:type="dxa"/>
          </w:tcPr>
          <w:p w14:paraId="5F0794F3" w14:textId="77777777" w:rsidR="004A6753" w:rsidRPr="00F57823" w:rsidRDefault="00EE201B" w:rsidP="0081007B">
            <w:pPr>
              <w:pStyle w:val="Normal6"/>
              <w:rPr>
                <w:color w:val="FF0000"/>
                <w:szCs w:val="24"/>
                <w:lang w:val="en-GB"/>
              </w:rPr>
            </w:pPr>
            <w:r w:rsidRPr="00F57823">
              <w:rPr>
                <w:b/>
                <w:i/>
                <w:color w:val="FF0000"/>
                <w:lang w:val="en-GB"/>
              </w:rPr>
              <w:t>(b) redistributive payment as referred to in subsections 3 of Section 2 of Chapter II of Title III;</w:t>
            </w:r>
          </w:p>
        </w:tc>
      </w:tr>
      <w:tr w:rsidR="004A6753" w:rsidRPr="001F36C8" w14:paraId="5C8E6FE9" w14:textId="77777777" w:rsidTr="0081007B">
        <w:trPr>
          <w:jc w:val="center"/>
        </w:trPr>
        <w:tc>
          <w:tcPr>
            <w:tcW w:w="4876" w:type="dxa"/>
          </w:tcPr>
          <w:p w14:paraId="72597E1D" w14:textId="77777777" w:rsidR="004A6753" w:rsidRPr="00EE201B" w:rsidRDefault="004A6753" w:rsidP="0081007B">
            <w:pPr>
              <w:pStyle w:val="Normal6"/>
              <w:rPr>
                <w:lang w:val="en-GB"/>
              </w:rPr>
            </w:pPr>
          </w:p>
        </w:tc>
        <w:tc>
          <w:tcPr>
            <w:tcW w:w="4876" w:type="dxa"/>
          </w:tcPr>
          <w:p w14:paraId="6E480901" w14:textId="77777777" w:rsidR="004A6753" w:rsidRPr="00F57823" w:rsidRDefault="00EE201B" w:rsidP="0081007B">
            <w:pPr>
              <w:pStyle w:val="Normal6"/>
              <w:rPr>
                <w:color w:val="FF0000"/>
                <w:szCs w:val="24"/>
                <w:lang w:val="en-GB"/>
              </w:rPr>
            </w:pPr>
            <w:r w:rsidRPr="00F57823">
              <w:rPr>
                <w:b/>
                <w:i/>
                <w:color w:val="FF0000"/>
                <w:lang w:val="en-GB"/>
              </w:rPr>
              <w:t>(c) coupled income support interventions as referred to in Subsection 1 of Section 2 of Chapter II of Title III;</w:t>
            </w:r>
          </w:p>
        </w:tc>
      </w:tr>
      <w:tr w:rsidR="004A6753" w:rsidRPr="001F36C8" w14:paraId="0B123316" w14:textId="77777777" w:rsidTr="0081007B">
        <w:trPr>
          <w:jc w:val="center"/>
        </w:trPr>
        <w:tc>
          <w:tcPr>
            <w:tcW w:w="4876" w:type="dxa"/>
          </w:tcPr>
          <w:p w14:paraId="5F6823EC" w14:textId="77777777" w:rsidR="004A6753" w:rsidRPr="00EE201B" w:rsidRDefault="004A6753" w:rsidP="0081007B">
            <w:pPr>
              <w:pStyle w:val="Normal6"/>
              <w:rPr>
                <w:lang w:val="en-GB"/>
              </w:rPr>
            </w:pPr>
          </w:p>
        </w:tc>
        <w:tc>
          <w:tcPr>
            <w:tcW w:w="4876" w:type="dxa"/>
          </w:tcPr>
          <w:p w14:paraId="3936EC40" w14:textId="77777777" w:rsidR="004A6753" w:rsidRPr="00F57823" w:rsidRDefault="00EE201B" w:rsidP="0081007B">
            <w:pPr>
              <w:pStyle w:val="Normal6"/>
              <w:rPr>
                <w:color w:val="FF0000"/>
                <w:szCs w:val="24"/>
                <w:lang w:val="en-GB"/>
              </w:rPr>
            </w:pPr>
            <w:r w:rsidRPr="00F57823">
              <w:rPr>
                <w:b/>
                <w:i/>
                <w:color w:val="FF0000"/>
                <w:lang w:val="en-GB"/>
              </w:rPr>
              <w:t>(d) types of intervention in other sectors as referred to in Section 7 of Chapter III of Title III.</w:t>
            </w:r>
          </w:p>
        </w:tc>
      </w:tr>
      <w:tr w:rsidR="004A6753" w:rsidRPr="001F36C8" w14:paraId="06902546" w14:textId="77777777" w:rsidTr="0081007B">
        <w:trPr>
          <w:jc w:val="center"/>
        </w:trPr>
        <w:tc>
          <w:tcPr>
            <w:tcW w:w="4876" w:type="dxa"/>
          </w:tcPr>
          <w:p w14:paraId="543E92AE" w14:textId="77777777" w:rsidR="004A6753" w:rsidRPr="00EE201B" w:rsidRDefault="004A6753" w:rsidP="0081007B">
            <w:pPr>
              <w:pStyle w:val="Normal6"/>
              <w:rPr>
                <w:lang w:val="en-GB"/>
              </w:rPr>
            </w:pPr>
          </w:p>
        </w:tc>
        <w:tc>
          <w:tcPr>
            <w:tcW w:w="4876" w:type="dxa"/>
          </w:tcPr>
          <w:p w14:paraId="7F8E062F" w14:textId="77777777" w:rsidR="004A6753" w:rsidRPr="001F36C8" w:rsidRDefault="00EE201B" w:rsidP="0081007B">
            <w:pPr>
              <w:pStyle w:val="Normal6"/>
              <w:rPr>
                <w:szCs w:val="24"/>
                <w:lang w:val="en-GB"/>
              </w:rPr>
            </w:pPr>
            <w:r w:rsidRPr="006D22F9">
              <w:rPr>
                <w:b/>
                <w:i/>
                <w:lang w:val="en-GB"/>
              </w:rPr>
              <w:t>By derogation where a Member State makes use of the option provided for in point (a) of the first subparagraph of Article 90(1) from the amount reserved under the first paragraph it may reduce the minimum amount which it has fixed under the first subparagraph by the increased amount.</w:t>
            </w:r>
          </w:p>
        </w:tc>
      </w:tr>
      <w:tr w:rsidR="004A6753" w:rsidRPr="001F36C8" w14:paraId="3CAB2BD9" w14:textId="77777777" w:rsidTr="0081007B">
        <w:trPr>
          <w:jc w:val="center"/>
        </w:trPr>
        <w:tc>
          <w:tcPr>
            <w:tcW w:w="4876" w:type="dxa"/>
          </w:tcPr>
          <w:p w14:paraId="62F2ACFE" w14:textId="77777777" w:rsidR="004A6753" w:rsidRPr="00EE201B" w:rsidRDefault="004A6753" w:rsidP="0081007B">
            <w:pPr>
              <w:pStyle w:val="Normal6"/>
              <w:rPr>
                <w:lang w:val="en-GB"/>
              </w:rPr>
            </w:pPr>
          </w:p>
        </w:tc>
        <w:tc>
          <w:tcPr>
            <w:tcW w:w="4876" w:type="dxa"/>
          </w:tcPr>
          <w:p w14:paraId="12E37FD1" w14:textId="77777777" w:rsidR="004A6753" w:rsidRPr="001F36C8" w:rsidRDefault="00EE201B" w:rsidP="0081007B">
            <w:pPr>
              <w:pStyle w:val="Normal6"/>
              <w:rPr>
                <w:szCs w:val="24"/>
                <w:lang w:val="en-GB"/>
              </w:rPr>
            </w:pPr>
            <w:r w:rsidRPr="006D22F9">
              <w:rPr>
                <w:b/>
                <w:i/>
                <w:lang w:val="en-GB"/>
              </w:rPr>
              <w:t xml:space="preserve">4 </w:t>
            </w:r>
            <w:proofErr w:type="spellStart"/>
            <w:proofErr w:type="gramStart"/>
            <w:r w:rsidRPr="006D22F9">
              <w:rPr>
                <w:b/>
                <w:i/>
                <w:lang w:val="en-GB"/>
              </w:rPr>
              <w:t>b.At</w:t>
            </w:r>
            <w:proofErr w:type="spellEnd"/>
            <w:proofErr w:type="gramEnd"/>
            <w:r w:rsidRPr="006D22F9">
              <w:rPr>
                <w:b/>
                <w:i/>
                <w:lang w:val="en-GB"/>
              </w:rPr>
              <w:t xml:space="preserve"> least 6% of the amounts set out in Annex VII shall be reserved to support the redistributive payment referred to in Article 26.</w:t>
            </w:r>
          </w:p>
        </w:tc>
      </w:tr>
      <w:tr w:rsidR="004A6753" w:rsidRPr="001F36C8" w14:paraId="75B0E6F0" w14:textId="77777777" w:rsidTr="0081007B">
        <w:trPr>
          <w:jc w:val="center"/>
        </w:trPr>
        <w:tc>
          <w:tcPr>
            <w:tcW w:w="4876" w:type="dxa"/>
          </w:tcPr>
          <w:p w14:paraId="0DBE0325" w14:textId="77777777" w:rsidR="004A6753" w:rsidRPr="00EE201B" w:rsidRDefault="004A6753" w:rsidP="0081007B">
            <w:pPr>
              <w:pStyle w:val="Normal6"/>
              <w:rPr>
                <w:lang w:val="en-GB"/>
              </w:rPr>
            </w:pPr>
          </w:p>
        </w:tc>
        <w:tc>
          <w:tcPr>
            <w:tcW w:w="4876" w:type="dxa"/>
          </w:tcPr>
          <w:p w14:paraId="4D8B57B7" w14:textId="77777777" w:rsidR="004A6753" w:rsidRPr="001F36C8" w:rsidRDefault="00EE201B" w:rsidP="0081007B">
            <w:pPr>
              <w:pStyle w:val="Normal6"/>
              <w:rPr>
                <w:lang w:val="en-GB"/>
              </w:rPr>
            </w:pPr>
            <w:r w:rsidRPr="006D22F9">
              <w:rPr>
                <w:b/>
                <w:i/>
                <w:lang w:val="en-GB"/>
              </w:rPr>
              <w:t xml:space="preserve">4 </w:t>
            </w:r>
            <w:proofErr w:type="spellStart"/>
            <w:proofErr w:type="gramStart"/>
            <w:r w:rsidRPr="006D22F9">
              <w:rPr>
                <w:b/>
                <w:i/>
                <w:lang w:val="en-GB"/>
              </w:rPr>
              <w:t>c.</w:t>
            </w:r>
            <w:commentRangeStart w:id="42"/>
            <w:r w:rsidRPr="00870C6B">
              <w:rPr>
                <w:b/>
                <w:i/>
                <w:color w:val="00B050"/>
                <w:lang w:val="en-GB"/>
              </w:rPr>
              <w:t>At</w:t>
            </w:r>
            <w:proofErr w:type="spellEnd"/>
            <w:proofErr w:type="gramEnd"/>
            <w:r w:rsidRPr="00870C6B">
              <w:rPr>
                <w:b/>
                <w:i/>
                <w:color w:val="00B050"/>
                <w:lang w:val="en-GB"/>
              </w:rPr>
              <w:t xml:space="preserve"> least 30% of the total allocations set out in Annex VII for the period 2023 to 2027 shall be reserved for schemes for the climate, environment and animal welfare referred to in Article 28</w:t>
            </w:r>
            <w:commentRangeEnd w:id="42"/>
            <w:r w:rsidR="00731B03">
              <w:rPr>
                <w:rStyle w:val="CommentReference"/>
              </w:rPr>
              <w:commentReference w:id="42"/>
            </w:r>
            <w:r w:rsidRPr="00870C6B">
              <w:rPr>
                <w:b/>
                <w:i/>
                <w:color w:val="00B050"/>
                <w:lang w:val="en-GB"/>
              </w:rPr>
              <w:t>.</w:t>
            </w:r>
          </w:p>
        </w:tc>
      </w:tr>
      <w:tr w:rsidR="004A6753" w:rsidRPr="001F36C8" w14:paraId="589E1147" w14:textId="77777777" w:rsidTr="0081007B">
        <w:trPr>
          <w:jc w:val="center"/>
        </w:trPr>
        <w:tc>
          <w:tcPr>
            <w:tcW w:w="4876" w:type="dxa"/>
          </w:tcPr>
          <w:p w14:paraId="1E986EC4" w14:textId="77777777" w:rsidR="004A6753" w:rsidRPr="00EE201B" w:rsidRDefault="004A6753" w:rsidP="0081007B">
            <w:pPr>
              <w:pStyle w:val="Normal6"/>
              <w:rPr>
                <w:lang w:val="en-GB"/>
              </w:rPr>
            </w:pPr>
          </w:p>
        </w:tc>
        <w:tc>
          <w:tcPr>
            <w:tcW w:w="4876" w:type="dxa"/>
          </w:tcPr>
          <w:p w14:paraId="58DE0621" w14:textId="77777777" w:rsidR="004A6753" w:rsidRPr="001F36C8" w:rsidRDefault="00EE201B" w:rsidP="0081007B">
            <w:pPr>
              <w:pStyle w:val="Normal6"/>
              <w:rPr>
                <w:szCs w:val="24"/>
                <w:lang w:val="en-GB"/>
              </w:rPr>
            </w:pPr>
            <w:r w:rsidRPr="006D22F9">
              <w:rPr>
                <w:b/>
                <w:i/>
                <w:lang w:val="en-GB"/>
              </w:rPr>
              <w:t xml:space="preserve">Member States may reserve different amounts for each calendar year, below or above the percentage fixed by the Member State under the first sentence, provided that the sum of all the yearly amounts </w:t>
            </w:r>
            <w:r w:rsidRPr="006D22F9">
              <w:rPr>
                <w:b/>
                <w:i/>
                <w:lang w:val="en-GB"/>
              </w:rPr>
              <w:lastRenderedPageBreak/>
              <w:t>corresponds to that percentage.</w:t>
            </w:r>
          </w:p>
        </w:tc>
      </w:tr>
      <w:tr w:rsidR="004A6753" w:rsidRPr="001F36C8" w14:paraId="5E7ACC35" w14:textId="77777777" w:rsidTr="0081007B">
        <w:trPr>
          <w:jc w:val="center"/>
        </w:trPr>
        <w:tc>
          <w:tcPr>
            <w:tcW w:w="4876" w:type="dxa"/>
          </w:tcPr>
          <w:p w14:paraId="4309C335" w14:textId="77777777" w:rsidR="004A6753" w:rsidRPr="00EE201B" w:rsidRDefault="004A6753" w:rsidP="0081007B">
            <w:pPr>
              <w:pStyle w:val="Normal6"/>
              <w:rPr>
                <w:lang w:val="en-GB"/>
              </w:rPr>
            </w:pPr>
          </w:p>
        </w:tc>
        <w:tc>
          <w:tcPr>
            <w:tcW w:w="4876" w:type="dxa"/>
          </w:tcPr>
          <w:p w14:paraId="6892B01A" w14:textId="77777777" w:rsidR="004A6753" w:rsidRPr="001F36C8" w:rsidRDefault="00EE201B" w:rsidP="0081007B">
            <w:pPr>
              <w:pStyle w:val="Normal6"/>
              <w:rPr>
                <w:lang w:val="en-GB"/>
              </w:rPr>
            </w:pPr>
            <w:commentRangeStart w:id="43"/>
            <w:r w:rsidRPr="006D22F9">
              <w:rPr>
                <w:b/>
                <w:i/>
                <w:lang w:val="en-GB"/>
              </w:rPr>
              <w:t>By derogation where a Member State makes use of the option provided for in point (a) of the first subparagraph of Article 90(1) from the amount reserved under article 28 it may reduce the minimum amount which it has fixed under the first subparagraph by the increased amount</w:t>
            </w:r>
            <w:commentRangeEnd w:id="43"/>
            <w:r>
              <w:rPr>
                <w:rStyle w:val="CommentReference"/>
              </w:rPr>
              <w:commentReference w:id="43"/>
            </w:r>
            <w:r w:rsidRPr="006D22F9">
              <w:rPr>
                <w:b/>
                <w:i/>
                <w:lang w:val="en-GB"/>
              </w:rPr>
              <w:t>.</w:t>
            </w:r>
          </w:p>
        </w:tc>
      </w:tr>
      <w:tr w:rsidR="004A6753" w:rsidRPr="001F36C8" w14:paraId="65BF9E4B" w14:textId="77777777" w:rsidTr="0081007B">
        <w:trPr>
          <w:jc w:val="center"/>
        </w:trPr>
        <w:tc>
          <w:tcPr>
            <w:tcW w:w="4876" w:type="dxa"/>
          </w:tcPr>
          <w:p w14:paraId="27F8E346" w14:textId="77777777" w:rsidR="004A6753" w:rsidRPr="00EE201B" w:rsidRDefault="00EE201B" w:rsidP="0081007B">
            <w:pPr>
              <w:pStyle w:val="Normal6"/>
              <w:rPr>
                <w:lang w:val="en-GB"/>
              </w:rPr>
            </w:pPr>
            <w:r w:rsidRPr="00EE201B">
              <w:rPr>
                <w:lang w:val="en-GB"/>
              </w:rPr>
              <w:t>5.</w:t>
            </w:r>
            <w:r w:rsidRPr="00EE201B">
              <w:rPr>
                <w:lang w:val="en-GB"/>
              </w:rPr>
              <w:tab/>
            </w:r>
          </w:p>
        </w:tc>
        <w:tc>
          <w:tcPr>
            <w:tcW w:w="4876" w:type="dxa"/>
          </w:tcPr>
          <w:p w14:paraId="1233BBFD" w14:textId="77777777" w:rsidR="004A6753" w:rsidRPr="001F36C8" w:rsidRDefault="00EE201B" w:rsidP="0081007B">
            <w:pPr>
              <w:pStyle w:val="Normal6"/>
              <w:rPr>
                <w:szCs w:val="24"/>
                <w:lang w:val="en-GB"/>
              </w:rPr>
            </w:pPr>
            <w:r w:rsidRPr="00EE201B">
              <w:rPr>
                <w:lang w:val="en-GB"/>
              </w:rPr>
              <w:t>5.</w:t>
            </w:r>
            <w:r w:rsidRPr="00EE201B">
              <w:rPr>
                <w:lang w:val="en-GB"/>
              </w:rPr>
              <w:tab/>
            </w:r>
          </w:p>
        </w:tc>
      </w:tr>
      <w:tr w:rsidR="004A6753" w:rsidRPr="001F36C8" w14:paraId="667031FF" w14:textId="77777777" w:rsidTr="0081007B">
        <w:trPr>
          <w:jc w:val="center"/>
        </w:trPr>
        <w:tc>
          <w:tcPr>
            <w:tcW w:w="4876" w:type="dxa"/>
          </w:tcPr>
          <w:p w14:paraId="032884BB" w14:textId="77777777" w:rsidR="004A6753" w:rsidRPr="00EE201B" w:rsidRDefault="00EE201B" w:rsidP="0081007B">
            <w:pPr>
              <w:pStyle w:val="Normal6"/>
              <w:rPr>
                <w:lang w:val="en-GB"/>
              </w:rPr>
            </w:pPr>
            <w:r w:rsidRPr="00EE201B">
              <w:rPr>
                <w:lang w:val="en-GB"/>
              </w:rPr>
              <w:t>The indicative financial allocations for the coupled income support interventions referred to in Subsection 1 of Section 2 of Chapter II of Title III, shall be limited to a maximum of 10% of the amounts set out in Annex VII.</w:t>
            </w:r>
          </w:p>
        </w:tc>
        <w:tc>
          <w:tcPr>
            <w:tcW w:w="4876" w:type="dxa"/>
          </w:tcPr>
          <w:p w14:paraId="4478B979" w14:textId="26137C1F" w:rsidR="004A6753" w:rsidRPr="001F36C8" w:rsidRDefault="00EE201B" w:rsidP="0081007B">
            <w:pPr>
              <w:pStyle w:val="Normal6"/>
              <w:rPr>
                <w:szCs w:val="24"/>
                <w:lang w:val="en-GB"/>
              </w:rPr>
            </w:pPr>
            <w:r w:rsidRPr="00EE201B">
              <w:rPr>
                <w:lang w:val="en-GB"/>
              </w:rPr>
              <w:t xml:space="preserve">The indicative financial allocations for the coupled income support interventions referred to in Subsection 1 of Section 2 of Chapter II of Title III, shall be limited to a maximum of 10% of the amounts set out in Annex VII. </w:t>
            </w:r>
            <w:commentRangeStart w:id="44"/>
            <w:r w:rsidRPr="006D22F9">
              <w:rPr>
                <w:b/>
                <w:i/>
                <w:lang w:val="en-GB"/>
              </w:rPr>
              <w:t>Member States may transfer a part of it to increase the maximum allocation set up in Article 82(6) if that allocation is insufficient to finance the interventions covered under Section 7 of Chapter III of Title III.</w:t>
            </w:r>
            <w:commentRangeEnd w:id="44"/>
            <w:r w:rsidR="0025247F">
              <w:rPr>
                <w:rStyle w:val="CommentReference"/>
                <w:lang w:val="en-GB"/>
              </w:rPr>
              <w:commentReference w:id="44"/>
            </w:r>
          </w:p>
        </w:tc>
      </w:tr>
      <w:tr w:rsidR="004A6753" w:rsidRPr="001F36C8" w14:paraId="37D78F43" w14:textId="77777777" w:rsidTr="0081007B">
        <w:trPr>
          <w:jc w:val="center"/>
        </w:trPr>
        <w:tc>
          <w:tcPr>
            <w:tcW w:w="4876" w:type="dxa"/>
          </w:tcPr>
          <w:p w14:paraId="793AE8B6" w14:textId="77777777" w:rsidR="004A6753" w:rsidRPr="00EE201B" w:rsidRDefault="00EE201B" w:rsidP="0081007B">
            <w:pPr>
              <w:pStyle w:val="Normal6"/>
              <w:rPr>
                <w:lang w:val="en-GB"/>
              </w:rPr>
            </w:pPr>
            <w:r w:rsidRPr="00EE201B">
              <w:rPr>
                <w:lang w:val="en-GB"/>
              </w:rPr>
              <w:t>By way of derogation from the first sub-paragraph, Member States that in accordance with Article 53(4) of Regulation (EU) No 1307/2013 used for the purpose of voluntary coupled support more than 13% of their annual national ceiling set out in Annex II to that Regulation, may decide to use for the purpose of coupled income support more than 10% of the amount set out in Annex VII. The resulting percentage shall not exceed the percentage approved by the Commission for voluntary coupled support in respect of claim year 2018.</w:t>
            </w:r>
          </w:p>
        </w:tc>
        <w:tc>
          <w:tcPr>
            <w:tcW w:w="4876" w:type="dxa"/>
          </w:tcPr>
          <w:p w14:paraId="63FE8F97" w14:textId="77777777" w:rsidR="004A6753" w:rsidRPr="001F36C8" w:rsidRDefault="00EE201B" w:rsidP="0081007B">
            <w:pPr>
              <w:pStyle w:val="Normal6"/>
              <w:rPr>
                <w:szCs w:val="24"/>
                <w:lang w:val="en-GB"/>
              </w:rPr>
            </w:pPr>
            <w:r w:rsidRPr="00EE201B">
              <w:rPr>
                <w:lang w:val="en-GB"/>
              </w:rPr>
              <w:t>By way of derogation from the first sub-paragraph, Member States that in accordance with Article 53(4) of Regulation (EU) No 1307/2013 used for the purpose of voluntary coupled support more than 13% of their annual national ceiling set out in Annex II to that Regulation, may decide to use for the purpose of coupled income support more than 10% of the amount set out in Annex VII. The resulting percentage shall not exceed the percentage approved by the Commission for voluntary coupled support in respect of claim year 2018.</w:t>
            </w:r>
          </w:p>
        </w:tc>
      </w:tr>
      <w:tr w:rsidR="004A6753" w:rsidRPr="001F36C8" w14:paraId="4257CAEB" w14:textId="77777777" w:rsidTr="0081007B">
        <w:trPr>
          <w:jc w:val="center"/>
        </w:trPr>
        <w:tc>
          <w:tcPr>
            <w:tcW w:w="4876" w:type="dxa"/>
          </w:tcPr>
          <w:p w14:paraId="639FDD65" w14:textId="77777777" w:rsidR="004A6753" w:rsidRPr="00EE201B" w:rsidRDefault="00EE201B" w:rsidP="0081007B">
            <w:pPr>
              <w:pStyle w:val="Normal6"/>
              <w:rPr>
                <w:lang w:val="en-GB"/>
              </w:rPr>
            </w:pPr>
            <w:r w:rsidRPr="00EE201B">
              <w:rPr>
                <w:lang w:val="en-GB"/>
              </w:rPr>
              <w:t>The percentage referred to in the first subparagraph, may be increased by a maximum of 2%, provided that the amount corresponding to the percentage exceeding the 10% is allocated to the support for protein crops under Subsection 1 of Section 2 of Chapter II of Title III.</w:t>
            </w:r>
          </w:p>
        </w:tc>
        <w:tc>
          <w:tcPr>
            <w:tcW w:w="4876" w:type="dxa"/>
          </w:tcPr>
          <w:p w14:paraId="06FD66A7" w14:textId="77777777" w:rsidR="004A6753" w:rsidRPr="001F36C8" w:rsidRDefault="00EE201B" w:rsidP="0081007B">
            <w:pPr>
              <w:pStyle w:val="Normal6"/>
              <w:rPr>
                <w:szCs w:val="24"/>
                <w:lang w:val="en-GB"/>
              </w:rPr>
            </w:pPr>
            <w:r w:rsidRPr="00EE201B">
              <w:rPr>
                <w:lang w:val="en-GB"/>
              </w:rPr>
              <w:t>The percentage referred to in the first subparagraph, may be increased by a maximum of 2%, provided that the amount corresponding to the percentage exceeding the 10% is allocated to the support for protein crops under Subsection 1 of Section 2 of Chapter II of Title III.</w:t>
            </w:r>
          </w:p>
        </w:tc>
      </w:tr>
      <w:tr w:rsidR="004A6753" w:rsidRPr="001F36C8" w14:paraId="62C7A3D3" w14:textId="77777777" w:rsidTr="0081007B">
        <w:trPr>
          <w:jc w:val="center"/>
        </w:trPr>
        <w:tc>
          <w:tcPr>
            <w:tcW w:w="4876" w:type="dxa"/>
          </w:tcPr>
          <w:p w14:paraId="3D106054" w14:textId="77777777" w:rsidR="004A6753" w:rsidRPr="00EE201B" w:rsidRDefault="00EE201B" w:rsidP="0081007B">
            <w:pPr>
              <w:pStyle w:val="Normal6"/>
              <w:rPr>
                <w:lang w:val="en-GB"/>
              </w:rPr>
            </w:pPr>
            <w:r w:rsidRPr="00EE201B">
              <w:rPr>
                <w:lang w:val="en-GB"/>
              </w:rPr>
              <w:t>The amount included in the approved CAP Strategic Plan resulting from the application of the first and second subparagraphs shall be binding.</w:t>
            </w:r>
          </w:p>
        </w:tc>
        <w:tc>
          <w:tcPr>
            <w:tcW w:w="4876" w:type="dxa"/>
          </w:tcPr>
          <w:p w14:paraId="384C50E1" w14:textId="77777777" w:rsidR="004A6753" w:rsidRPr="001F36C8" w:rsidRDefault="00EE201B" w:rsidP="0081007B">
            <w:pPr>
              <w:pStyle w:val="Normal6"/>
              <w:rPr>
                <w:szCs w:val="24"/>
                <w:lang w:val="en-GB"/>
              </w:rPr>
            </w:pPr>
            <w:r w:rsidRPr="00EE201B">
              <w:rPr>
                <w:lang w:val="en-GB"/>
              </w:rPr>
              <w:t>The amount included in the approved CAP Strategic Plan resulting from the application of the first and second subparagraphs shall be binding.</w:t>
            </w:r>
          </w:p>
        </w:tc>
      </w:tr>
      <w:tr w:rsidR="004A6753" w:rsidRPr="001F36C8" w14:paraId="3A3C6993" w14:textId="77777777" w:rsidTr="0081007B">
        <w:trPr>
          <w:jc w:val="center"/>
        </w:trPr>
        <w:tc>
          <w:tcPr>
            <w:tcW w:w="4876" w:type="dxa"/>
          </w:tcPr>
          <w:p w14:paraId="1FE4B88F" w14:textId="77777777" w:rsidR="004A6753" w:rsidRPr="00EE201B" w:rsidRDefault="00EE201B" w:rsidP="0081007B">
            <w:pPr>
              <w:pStyle w:val="Normal6"/>
              <w:rPr>
                <w:lang w:val="en-GB"/>
              </w:rPr>
            </w:pPr>
            <w:r w:rsidRPr="00EE201B">
              <w:rPr>
                <w:lang w:val="en-GB"/>
              </w:rPr>
              <w:t>6.</w:t>
            </w:r>
            <w:r w:rsidRPr="00EE201B">
              <w:rPr>
                <w:lang w:val="en-GB"/>
              </w:rPr>
              <w:tab/>
              <w:t>Without prejudice to Article 15 of Regulation (EU) [</w:t>
            </w:r>
            <w:proofErr w:type="spellStart"/>
            <w:r w:rsidRPr="00EE201B">
              <w:rPr>
                <w:lang w:val="en-GB"/>
              </w:rPr>
              <w:t>HzR</w:t>
            </w:r>
            <w:proofErr w:type="spellEnd"/>
            <w:r w:rsidRPr="00EE201B">
              <w:rPr>
                <w:lang w:val="en-GB"/>
              </w:rPr>
              <w:t xml:space="preserve">], the maximum amount which may be granted in a Member </w:t>
            </w:r>
            <w:r w:rsidRPr="00EE201B">
              <w:rPr>
                <w:lang w:val="en-GB"/>
              </w:rPr>
              <w:lastRenderedPageBreak/>
              <w:t xml:space="preserve">State before the application of Article 15 of this Regulation pursuant to Subsection 1 of Section 2 of Chapter II of Title III of this Regulation in respect of a calendar year shall not exceed the amounts fixed in the CAP Strategic Plan in accordance with paragraph </w:t>
            </w:r>
            <w:r w:rsidRPr="006D22F9">
              <w:rPr>
                <w:b/>
                <w:i/>
                <w:lang w:val="en-GB"/>
              </w:rPr>
              <w:t>6</w:t>
            </w:r>
            <w:r w:rsidRPr="00EE201B">
              <w:rPr>
                <w:lang w:val="en-GB"/>
              </w:rPr>
              <w:t>.</w:t>
            </w:r>
          </w:p>
        </w:tc>
        <w:tc>
          <w:tcPr>
            <w:tcW w:w="4876" w:type="dxa"/>
          </w:tcPr>
          <w:p w14:paraId="248916CD" w14:textId="77777777" w:rsidR="004A6753" w:rsidRPr="001F36C8" w:rsidRDefault="00EE201B" w:rsidP="0081007B">
            <w:pPr>
              <w:pStyle w:val="Normal6"/>
              <w:rPr>
                <w:szCs w:val="24"/>
                <w:lang w:val="en-GB"/>
              </w:rPr>
            </w:pPr>
            <w:r w:rsidRPr="00EE201B">
              <w:rPr>
                <w:lang w:val="en-GB"/>
              </w:rPr>
              <w:lastRenderedPageBreak/>
              <w:t>6.</w:t>
            </w:r>
            <w:r w:rsidRPr="00EE201B">
              <w:rPr>
                <w:lang w:val="en-GB"/>
              </w:rPr>
              <w:tab/>
              <w:t>Without prejudice to Article 15 of Regulation (EU) [</w:t>
            </w:r>
            <w:proofErr w:type="spellStart"/>
            <w:r w:rsidRPr="00EE201B">
              <w:rPr>
                <w:lang w:val="en-GB"/>
              </w:rPr>
              <w:t>HzR</w:t>
            </w:r>
            <w:proofErr w:type="spellEnd"/>
            <w:r w:rsidRPr="00EE201B">
              <w:rPr>
                <w:lang w:val="en-GB"/>
              </w:rPr>
              <w:t xml:space="preserve">], the maximum amount which may be granted in a Member </w:t>
            </w:r>
            <w:r w:rsidRPr="00EE201B">
              <w:rPr>
                <w:lang w:val="en-GB"/>
              </w:rPr>
              <w:lastRenderedPageBreak/>
              <w:t xml:space="preserve">State before the application of Article 15 of this Regulation pursuant to Subsection 1 of Section 2 of Chapter II of Title III of this Regulation in respect of a calendar year shall not exceed the amounts fixed in the CAP Strategic Plan in accordance with paragraph </w:t>
            </w:r>
            <w:r w:rsidRPr="006D22F9">
              <w:rPr>
                <w:b/>
                <w:i/>
                <w:lang w:val="en-GB"/>
              </w:rPr>
              <w:t>5</w:t>
            </w:r>
            <w:r w:rsidRPr="00EE201B">
              <w:rPr>
                <w:lang w:val="en-GB"/>
              </w:rPr>
              <w:t>.</w:t>
            </w:r>
          </w:p>
        </w:tc>
      </w:tr>
      <w:tr w:rsidR="004A6753" w:rsidRPr="001F36C8" w14:paraId="52EC9455" w14:textId="77777777" w:rsidTr="0081007B">
        <w:trPr>
          <w:jc w:val="center"/>
        </w:trPr>
        <w:tc>
          <w:tcPr>
            <w:tcW w:w="4876" w:type="dxa"/>
          </w:tcPr>
          <w:p w14:paraId="3AAB0199" w14:textId="77777777" w:rsidR="004A6753" w:rsidRPr="00EE201B" w:rsidRDefault="00EE201B" w:rsidP="0081007B">
            <w:pPr>
              <w:pStyle w:val="Normal6"/>
              <w:rPr>
                <w:lang w:val="en-GB"/>
              </w:rPr>
            </w:pPr>
            <w:r w:rsidRPr="00EE201B">
              <w:rPr>
                <w:lang w:val="en-GB"/>
              </w:rPr>
              <w:lastRenderedPageBreak/>
              <w:t>7.</w:t>
            </w:r>
            <w:r w:rsidRPr="00EE201B">
              <w:rPr>
                <w:lang w:val="en-GB"/>
              </w:rPr>
              <w:tab/>
              <w:t>Member States may decide in their CAP Strategic Plan to use a certain share of the EAFRD allocation to leverage support and upscale integrated Strategic Nature Projects as defined under the [LIFE Regulation] and to finance actions in respect of transnational learning mobility of people in the field agricultural and rural development with a focus on young farmers, in accordance with the [Erasmus Regulation].</w:t>
            </w:r>
          </w:p>
        </w:tc>
        <w:tc>
          <w:tcPr>
            <w:tcW w:w="4876" w:type="dxa"/>
          </w:tcPr>
          <w:p w14:paraId="4D691237" w14:textId="77777777" w:rsidR="004A6753" w:rsidRPr="001F36C8" w:rsidRDefault="00EE201B" w:rsidP="0081007B">
            <w:pPr>
              <w:pStyle w:val="Normal6"/>
              <w:rPr>
                <w:lang w:val="en-GB"/>
              </w:rPr>
            </w:pPr>
            <w:r w:rsidRPr="00EE201B">
              <w:rPr>
                <w:lang w:val="en-GB"/>
              </w:rPr>
              <w:t>7.</w:t>
            </w:r>
            <w:r w:rsidRPr="00EE201B">
              <w:rPr>
                <w:lang w:val="en-GB"/>
              </w:rPr>
              <w:tab/>
              <w:t xml:space="preserve">Member States may decide in their CAP Strategic Plan to use a certain share of the EAFRD allocation to leverage support and upscale integrated Strategic Nature Projects as defined under the [LIFE Regulation] </w:t>
            </w:r>
            <w:commentRangeStart w:id="45"/>
            <w:r w:rsidRPr="006D22F9">
              <w:rPr>
                <w:b/>
                <w:i/>
                <w:lang w:val="en-GB"/>
              </w:rPr>
              <w:t>when farmers' communities are involved</w:t>
            </w:r>
            <w:r w:rsidRPr="00EE201B">
              <w:rPr>
                <w:lang w:val="en-GB"/>
              </w:rPr>
              <w:t xml:space="preserve"> </w:t>
            </w:r>
            <w:commentRangeEnd w:id="45"/>
            <w:r>
              <w:rPr>
                <w:rStyle w:val="CommentReference"/>
              </w:rPr>
              <w:commentReference w:id="45"/>
            </w:r>
            <w:r w:rsidRPr="00EE201B">
              <w:rPr>
                <w:lang w:val="en-GB"/>
              </w:rPr>
              <w:t xml:space="preserve">and to finance actions in respect of transnational learning mobility of people in the field agricultural and rural development with a focus on young farmers, in accordance with the [Erasmus Regulation] </w:t>
            </w:r>
            <w:r w:rsidRPr="006D22F9">
              <w:rPr>
                <w:b/>
                <w:i/>
                <w:lang w:val="en-GB"/>
              </w:rPr>
              <w:t>and on rural women</w:t>
            </w:r>
            <w:r w:rsidRPr="00EE201B">
              <w:rPr>
                <w:lang w:val="en-GB"/>
              </w:rPr>
              <w:t>.</w:t>
            </w:r>
          </w:p>
        </w:tc>
      </w:tr>
    </w:tbl>
    <w:p w14:paraId="59035E3D"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7143306F" w14:textId="77777777" w:rsidR="004A6753" w:rsidRPr="001F36C8" w:rsidRDefault="004A6753" w:rsidP="004A6753">
      <w:r w:rsidRPr="001F36C8">
        <w:rPr>
          <w:rStyle w:val="HideTWBExt"/>
        </w:rPr>
        <w:t>&lt;/Amend&gt;</w:t>
      </w:r>
    </w:p>
    <w:p w14:paraId="39A61034"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00480788">
        <w:rPr>
          <w:lang w:val="en-GB"/>
        </w:rPr>
        <w:t>9</w:t>
      </w:r>
      <w:r w:rsidRPr="001F36C8">
        <w:rPr>
          <w:rStyle w:val="HideTWBExt"/>
          <w:b w:val="0"/>
          <w:lang w:val="en-GB"/>
        </w:rPr>
        <w:t>&lt;NumAm&gt;&lt;/NumAm&gt;</w:t>
      </w:r>
    </w:p>
    <w:p w14:paraId="32C87ABA"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5018F142" w14:textId="77777777" w:rsidR="004A6753" w:rsidRPr="00ED66A2" w:rsidRDefault="004A6753" w:rsidP="004A6753">
      <w:r w:rsidRPr="007E6396">
        <w:rPr>
          <w:rStyle w:val="HideTWBExt"/>
        </w:rPr>
        <w:t>&lt;/RepeatBlock-By&gt;</w:t>
      </w:r>
    </w:p>
    <w:p w14:paraId="67EC59F3"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7143AB79"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87</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08B842B8" w14:textId="77777777" w:rsidTr="0081007B">
        <w:trPr>
          <w:jc w:val="center"/>
        </w:trPr>
        <w:tc>
          <w:tcPr>
            <w:tcW w:w="9752" w:type="dxa"/>
            <w:gridSpan w:val="2"/>
          </w:tcPr>
          <w:p w14:paraId="4C1625E3" w14:textId="77777777" w:rsidR="004A6753" w:rsidRPr="001F36C8" w:rsidRDefault="004A6753" w:rsidP="0081007B">
            <w:pPr>
              <w:keepNext/>
            </w:pPr>
          </w:p>
        </w:tc>
      </w:tr>
      <w:tr w:rsidR="004A6753" w:rsidRPr="001F36C8" w14:paraId="5AF1160F" w14:textId="77777777" w:rsidTr="0081007B">
        <w:trPr>
          <w:jc w:val="center"/>
        </w:trPr>
        <w:tc>
          <w:tcPr>
            <w:tcW w:w="4876" w:type="dxa"/>
          </w:tcPr>
          <w:p w14:paraId="1FE44ABD"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1413E97D" w14:textId="77777777" w:rsidR="004A6753" w:rsidRPr="001F36C8" w:rsidRDefault="004A6753" w:rsidP="0081007B">
            <w:pPr>
              <w:pStyle w:val="ColumnHeading"/>
              <w:keepNext/>
              <w:rPr>
                <w:lang w:val="en-GB"/>
              </w:rPr>
            </w:pPr>
            <w:r w:rsidRPr="001F36C8">
              <w:rPr>
                <w:lang w:val="en-GB"/>
              </w:rPr>
              <w:t>Amendment</w:t>
            </w:r>
          </w:p>
        </w:tc>
      </w:tr>
      <w:tr w:rsidR="004A6753" w:rsidRPr="001F36C8" w14:paraId="5C2A0D10" w14:textId="77777777" w:rsidTr="0081007B">
        <w:trPr>
          <w:jc w:val="center"/>
        </w:trPr>
        <w:tc>
          <w:tcPr>
            <w:tcW w:w="4876" w:type="dxa"/>
          </w:tcPr>
          <w:p w14:paraId="6DE81962" w14:textId="77777777" w:rsidR="004A6753" w:rsidRPr="00EE201B" w:rsidRDefault="00EE201B" w:rsidP="0081007B">
            <w:pPr>
              <w:pStyle w:val="Normal6"/>
              <w:rPr>
                <w:lang w:val="en-GB"/>
              </w:rPr>
            </w:pPr>
            <w:r w:rsidRPr="00EE201B">
              <w:rPr>
                <w:lang w:val="en-GB"/>
              </w:rPr>
              <w:t>87</w:t>
            </w:r>
            <w:r w:rsidRPr="00EE201B">
              <w:rPr>
                <w:lang w:val="en-GB"/>
              </w:rPr>
              <w:tab/>
              <w:t>Tracking climate expenditure</w:t>
            </w:r>
          </w:p>
        </w:tc>
        <w:tc>
          <w:tcPr>
            <w:tcW w:w="4876" w:type="dxa"/>
          </w:tcPr>
          <w:p w14:paraId="7C22BFEE" w14:textId="77777777" w:rsidR="004A6753" w:rsidRPr="001F36C8" w:rsidRDefault="00EE201B" w:rsidP="0081007B">
            <w:pPr>
              <w:pStyle w:val="Normal6"/>
              <w:rPr>
                <w:szCs w:val="24"/>
                <w:lang w:val="en-GB"/>
              </w:rPr>
            </w:pPr>
            <w:r w:rsidRPr="00EE201B">
              <w:rPr>
                <w:lang w:val="en-GB"/>
              </w:rPr>
              <w:t>87</w:t>
            </w:r>
            <w:r w:rsidRPr="00EE201B">
              <w:rPr>
                <w:lang w:val="en-GB"/>
              </w:rPr>
              <w:tab/>
              <w:t>Tracking climate expenditure</w:t>
            </w:r>
          </w:p>
        </w:tc>
      </w:tr>
      <w:tr w:rsidR="004A6753" w:rsidRPr="001F36C8" w14:paraId="0CAE3831" w14:textId="77777777" w:rsidTr="0081007B">
        <w:trPr>
          <w:jc w:val="center"/>
        </w:trPr>
        <w:tc>
          <w:tcPr>
            <w:tcW w:w="4876" w:type="dxa"/>
          </w:tcPr>
          <w:p w14:paraId="5444058A" w14:textId="77777777" w:rsidR="004A6753" w:rsidRPr="00EE201B" w:rsidRDefault="00EE201B" w:rsidP="0081007B">
            <w:pPr>
              <w:pStyle w:val="Normal6"/>
              <w:rPr>
                <w:lang w:val="en-GB"/>
              </w:rPr>
            </w:pPr>
            <w:r w:rsidRPr="00EE201B">
              <w:rPr>
                <w:lang w:val="en-GB"/>
              </w:rPr>
              <w:t>1.</w:t>
            </w:r>
            <w:r w:rsidRPr="00EE201B">
              <w:rPr>
                <w:lang w:val="en-GB"/>
              </w:rPr>
              <w:tab/>
              <w:t xml:space="preserve">On the basis of the information provided by Member States the Commission shall evaluate the contribution of the policy to the climate change objectives using </w:t>
            </w:r>
            <w:r w:rsidRPr="006D22F9">
              <w:rPr>
                <w:b/>
                <w:i/>
                <w:lang w:val="en-GB"/>
              </w:rPr>
              <w:t>a simple and</w:t>
            </w:r>
            <w:r w:rsidRPr="00EE201B">
              <w:rPr>
                <w:lang w:val="en-GB"/>
              </w:rPr>
              <w:t xml:space="preserve"> common methodology.</w:t>
            </w:r>
          </w:p>
        </w:tc>
        <w:tc>
          <w:tcPr>
            <w:tcW w:w="4876" w:type="dxa"/>
          </w:tcPr>
          <w:p w14:paraId="50955A18" w14:textId="77777777" w:rsidR="004A6753" w:rsidRPr="001F36C8" w:rsidRDefault="00EE201B" w:rsidP="0081007B">
            <w:pPr>
              <w:pStyle w:val="Normal6"/>
              <w:rPr>
                <w:szCs w:val="24"/>
                <w:lang w:val="en-GB"/>
              </w:rPr>
            </w:pPr>
            <w:r w:rsidRPr="00EE201B">
              <w:rPr>
                <w:lang w:val="en-GB"/>
              </w:rPr>
              <w:t>1.</w:t>
            </w:r>
            <w:r w:rsidRPr="00EE201B">
              <w:rPr>
                <w:lang w:val="en-GB"/>
              </w:rPr>
              <w:tab/>
              <w:t xml:space="preserve">On the basis of the information provided by Member States the Commission shall evaluate the contribution of the policy to the climate change objectives using </w:t>
            </w:r>
            <w:r w:rsidRPr="006D22F9">
              <w:rPr>
                <w:b/>
                <w:i/>
                <w:lang w:val="en-GB"/>
              </w:rPr>
              <w:t>an internationally recognised</w:t>
            </w:r>
            <w:r w:rsidRPr="00EE201B">
              <w:rPr>
                <w:lang w:val="en-GB"/>
              </w:rPr>
              <w:t xml:space="preserve"> common methodology.</w:t>
            </w:r>
          </w:p>
        </w:tc>
      </w:tr>
      <w:tr w:rsidR="004A6753" w:rsidRPr="001F36C8" w14:paraId="581ABF84" w14:textId="77777777" w:rsidTr="0081007B">
        <w:trPr>
          <w:jc w:val="center"/>
        </w:trPr>
        <w:tc>
          <w:tcPr>
            <w:tcW w:w="4876" w:type="dxa"/>
          </w:tcPr>
          <w:p w14:paraId="12AE71BE" w14:textId="77777777" w:rsidR="004A6753" w:rsidRPr="00EE201B" w:rsidRDefault="00EE201B" w:rsidP="0081007B">
            <w:pPr>
              <w:pStyle w:val="Normal6"/>
              <w:rPr>
                <w:lang w:val="en-GB"/>
              </w:rPr>
            </w:pPr>
            <w:r w:rsidRPr="006D22F9">
              <w:rPr>
                <w:b/>
                <w:i/>
                <w:lang w:val="en-GB"/>
              </w:rPr>
              <w:t>2.</w:t>
            </w:r>
            <w:r w:rsidRPr="00EE201B">
              <w:rPr>
                <w:lang w:val="en-GB"/>
              </w:rPr>
              <w:t xml:space="preserve"> </w:t>
            </w:r>
            <w:r w:rsidRPr="006D22F9">
              <w:rPr>
                <w:b/>
                <w:i/>
                <w:lang w:val="en-GB"/>
              </w:rPr>
              <w:t>The contribution to the expenditure target shall be estimated through the application of specific weightings differentiated on the basis whether the support makes a significant or a moderate contribution towards climate change objectives. These weighting shall be as follows:(a)</w:t>
            </w:r>
            <w:r w:rsidRPr="006D22F9">
              <w:rPr>
                <w:b/>
                <w:i/>
                <w:lang w:val="en-GB"/>
              </w:rPr>
              <w:tab/>
              <w:t>40% for the expenditure under the Basic Income Support for Sustainability and the Complementary Income Support referred to in Title III, Chapter II, section II, subsections 2 and 3;</w:t>
            </w:r>
          </w:p>
        </w:tc>
        <w:tc>
          <w:tcPr>
            <w:tcW w:w="4876" w:type="dxa"/>
          </w:tcPr>
          <w:p w14:paraId="494E3381" w14:textId="77777777" w:rsidR="004A6753" w:rsidRPr="001F36C8" w:rsidRDefault="004A6753" w:rsidP="0081007B">
            <w:pPr>
              <w:pStyle w:val="Normal6"/>
              <w:rPr>
                <w:szCs w:val="24"/>
                <w:lang w:val="en-GB"/>
              </w:rPr>
            </w:pPr>
          </w:p>
        </w:tc>
      </w:tr>
      <w:tr w:rsidR="004A6753" w:rsidRPr="001F36C8" w14:paraId="501072AD" w14:textId="77777777" w:rsidTr="0081007B">
        <w:trPr>
          <w:jc w:val="center"/>
        </w:trPr>
        <w:tc>
          <w:tcPr>
            <w:tcW w:w="4876" w:type="dxa"/>
          </w:tcPr>
          <w:p w14:paraId="15321B20" w14:textId="77777777" w:rsidR="004A6753" w:rsidRPr="00EE201B" w:rsidRDefault="00EE201B" w:rsidP="0081007B">
            <w:pPr>
              <w:pStyle w:val="Normal6"/>
              <w:rPr>
                <w:lang w:val="en-GB"/>
              </w:rPr>
            </w:pPr>
            <w:r w:rsidRPr="006D22F9">
              <w:rPr>
                <w:b/>
                <w:i/>
                <w:lang w:val="en-GB"/>
              </w:rPr>
              <w:lastRenderedPageBreak/>
              <w:t>(b)</w:t>
            </w:r>
            <w:r w:rsidRPr="006D22F9">
              <w:rPr>
                <w:b/>
                <w:i/>
                <w:lang w:val="en-GB"/>
              </w:rPr>
              <w:tab/>
              <w:t>100% for expenditure under the schemes for the climate and the environment referred to in Title III, Chapter II, section II, subsection 4;</w:t>
            </w:r>
          </w:p>
        </w:tc>
        <w:tc>
          <w:tcPr>
            <w:tcW w:w="4876" w:type="dxa"/>
          </w:tcPr>
          <w:p w14:paraId="3E474AE1" w14:textId="77777777" w:rsidR="004A6753" w:rsidRPr="001F36C8" w:rsidRDefault="004A6753" w:rsidP="0081007B">
            <w:pPr>
              <w:pStyle w:val="Normal6"/>
              <w:rPr>
                <w:szCs w:val="24"/>
                <w:lang w:val="en-GB"/>
              </w:rPr>
            </w:pPr>
          </w:p>
        </w:tc>
      </w:tr>
      <w:tr w:rsidR="004A6753" w:rsidRPr="001F36C8" w14:paraId="4C335B0F" w14:textId="77777777" w:rsidTr="0081007B">
        <w:trPr>
          <w:jc w:val="center"/>
        </w:trPr>
        <w:tc>
          <w:tcPr>
            <w:tcW w:w="4876" w:type="dxa"/>
          </w:tcPr>
          <w:p w14:paraId="220C47FE" w14:textId="77777777" w:rsidR="004A6753" w:rsidRPr="00EE201B" w:rsidRDefault="00EE201B" w:rsidP="0081007B">
            <w:pPr>
              <w:pStyle w:val="Normal6"/>
              <w:rPr>
                <w:lang w:val="en-GB"/>
              </w:rPr>
            </w:pPr>
            <w:r w:rsidRPr="006D22F9">
              <w:rPr>
                <w:b/>
                <w:i/>
                <w:lang w:val="en-GB"/>
              </w:rPr>
              <w:t>(c)</w:t>
            </w:r>
            <w:r w:rsidRPr="006D22F9">
              <w:rPr>
                <w:b/>
                <w:i/>
                <w:lang w:val="en-GB"/>
              </w:rPr>
              <w:tab/>
              <w:t>100% for expenditure for the interventions referred to in the first subparagraph of Article 86(2);</w:t>
            </w:r>
          </w:p>
        </w:tc>
        <w:tc>
          <w:tcPr>
            <w:tcW w:w="4876" w:type="dxa"/>
          </w:tcPr>
          <w:p w14:paraId="4C329963" w14:textId="77777777" w:rsidR="004A6753" w:rsidRPr="001F36C8" w:rsidRDefault="004A6753" w:rsidP="0081007B">
            <w:pPr>
              <w:pStyle w:val="Normal6"/>
              <w:rPr>
                <w:szCs w:val="24"/>
                <w:lang w:val="en-GB"/>
              </w:rPr>
            </w:pPr>
          </w:p>
        </w:tc>
      </w:tr>
      <w:tr w:rsidR="004A6753" w:rsidRPr="001F36C8" w14:paraId="12418FD9" w14:textId="77777777" w:rsidTr="0081007B">
        <w:trPr>
          <w:jc w:val="center"/>
        </w:trPr>
        <w:tc>
          <w:tcPr>
            <w:tcW w:w="4876" w:type="dxa"/>
          </w:tcPr>
          <w:p w14:paraId="69391E19" w14:textId="77777777" w:rsidR="004A6753" w:rsidRPr="00EE201B" w:rsidRDefault="00EE201B" w:rsidP="0081007B">
            <w:pPr>
              <w:pStyle w:val="Normal6"/>
              <w:rPr>
                <w:lang w:val="en-GB"/>
              </w:rPr>
            </w:pPr>
            <w:r w:rsidRPr="006D22F9">
              <w:rPr>
                <w:b/>
                <w:i/>
                <w:lang w:val="en-GB"/>
              </w:rPr>
              <w:t>(d)</w:t>
            </w:r>
            <w:r w:rsidRPr="006D22F9">
              <w:rPr>
                <w:b/>
                <w:i/>
                <w:lang w:val="en-GB"/>
              </w:rPr>
              <w:tab/>
              <w:t>40% for expenditure for natural or other area-specific constraints referred to in Article 66.</w:t>
            </w:r>
          </w:p>
        </w:tc>
        <w:tc>
          <w:tcPr>
            <w:tcW w:w="4876" w:type="dxa"/>
          </w:tcPr>
          <w:p w14:paraId="4F448224" w14:textId="77777777" w:rsidR="004A6753" w:rsidRPr="001F36C8" w:rsidRDefault="004A6753" w:rsidP="0081007B">
            <w:pPr>
              <w:pStyle w:val="Normal6"/>
              <w:rPr>
                <w:szCs w:val="24"/>
                <w:lang w:val="en-GB"/>
              </w:rPr>
            </w:pPr>
          </w:p>
        </w:tc>
      </w:tr>
      <w:tr w:rsidR="004A6753" w:rsidRPr="001F36C8" w14:paraId="76D50E4F" w14:textId="77777777" w:rsidTr="0081007B">
        <w:trPr>
          <w:jc w:val="center"/>
        </w:trPr>
        <w:tc>
          <w:tcPr>
            <w:tcW w:w="4876" w:type="dxa"/>
          </w:tcPr>
          <w:p w14:paraId="78383977" w14:textId="77777777" w:rsidR="004A6753" w:rsidRPr="00EE201B" w:rsidRDefault="004A6753" w:rsidP="0081007B">
            <w:pPr>
              <w:pStyle w:val="Normal6"/>
              <w:rPr>
                <w:lang w:val="en-GB"/>
              </w:rPr>
            </w:pPr>
          </w:p>
        </w:tc>
        <w:tc>
          <w:tcPr>
            <w:tcW w:w="4876" w:type="dxa"/>
          </w:tcPr>
          <w:p w14:paraId="20018EEE" w14:textId="083BABCE" w:rsidR="004A6753" w:rsidRPr="001F36C8" w:rsidRDefault="00EE201B" w:rsidP="0081007B">
            <w:pPr>
              <w:pStyle w:val="Normal6"/>
              <w:rPr>
                <w:lang w:val="en-GB"/>
              </w:rPr>
            </w:pPr>
            <w:commentRangeStart w:id="46"/>
            <w:r w:rsidRPr="006D22F9">
              <w:rPr>
                <w:b/>
                <w:i/>
                <w:lang w:val="en-GB"/>
              </w:rPr>
              <w:t xml:space="preserve">2 </w:t>
            </w:r>
            <w:proofErr w:type="spellStart"/>
            <w:proofErr w:type="gramStart"/>
            <w:r w:rsidRPr="006D22F9">
              <w:rPr>
                <w:b/>
                <w:i/>
                <w:lang w:val="en-GB"/>
              </w:rPr>
              <w:t>a.The</w:t>
            </w:r>
            <w:proofErr w:type="spellEnd"/>
            <w:proofErr w:type="gramEnd"/>
            <w:r w:rsidRPr="006D22F9">
              <w:rPr>
                <w:b/>
                <w:i/>
                <w:lang w:val="en-GB"/>
              </w:rPr>
              <w:t xml:space="preserve"> Commission shall develop a science-based and internationally recognised common methodology for more precise tracking of expenditure on climate and environmental objectives, including biodiversity, and evaluate the estimated contribution of different intervention types, as part of the Mid-term Review referred to in Article 139a</w:t>
            </w:r>
            <w:commentRangeEnd w:id="46"/>
            <w:r>
              <w:rPr>
                <w:rStyle w:val="CommentReference"/>
              </w:rPr>
              <w:commentReference w:id="46"/>
            </w:r>
            <w:r w:rsidRPr="006D22F9">
              <w:rPr>
                <w:b/>
                <w:i/>
                <w:lang w:val="en-GB"/>
              </w:rPr>
              <w:t>.</w:t>
            </w:r>
          </w:p>
        </w:tc>
      </w:tr>
    </w:tbl>
    <w:p w14:paraId="6692E256"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2C01DDFA" w14:textId="77777777" w:rsidR="004A6753" w:rsidRPr="001F36C8" w:rsidRDefault="004A6753" w:rsidP="004A6753">
      <w:r w:rsidRPr="001F36C8">
        <w:rPr>
          <w:rStyle w:val="HideTWBExt"/>
        </w:rPr>
        <w:t>&lt;/Amend&gt;</w:t>
      </w:r>
    </w:p>
    <w:p w14:paraId="5EAD8667"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480788">
        <w:rPr>
          <w:color w:val="000000"/>
          <w:lang w:val="en-GB"/>
        </w:rPr>
        <w:t>10</w:t>
      </w:r>
      <w:r w:rsidRPr="001F36C8">
        <w:rPr>
          <w:rStyle w:val="HideTWBExt"/>
          <w:b w:val="0"/>
          <w:lang w:val="en-GB"/>
        </w:rPr>
        <w:t>&lt;/NumAm&gt;</w:t>
      </w:r>
    </w:p>
    <w:p w14:paraId="4209FB4E"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13FAA9AB" w14:textId="77777777" w:rsidR="004A6753" w:rsidRPr="00ED66A2" w:rsidRDefault="004A6753" w:rsidP="004A6753">
      <w:r w:rsidRPr="007E6396">
        <w:rPr>
          <w:rStyle w:val="HideTWBExt"/>
        </w:rPr>
        <w:t>&lt;/RepeatBlock-By&gt;</w:t>
      </w:r>
    </w:p>
    <w:p w14:paraId="124BBFCB"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7F098AD6"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90</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68987220" w14:textId="77777777" w:rsidTr="0081007B">
        <w:trPr>
          <w:jc w:val="center"/>
        </w:trPr>
        <w:tc>
          <w:tcPr>
            <w:tcW w:w="9752" w:type="dxa"/>
            <w:gridSpan w:val="2"/>
          </w:tcPr>
          <w:p w14:paraId="2C202782" w14:textId="77777777" w:rsidR="004A6753" w:rsidRPr="001F36C8" w:rsidRDefault="004A6753" w:rsidP="0081007B">
            <w:pPr>
              <w:keepNext/>
            </w:pPr>
          </w:p>
        </w:tc>
      </w:tr>
      <w:tr w:rsidR="004A6753" w:rsidRPr="001F36C8" w14:paraId="79C5BE37" w14:textId="77777777" w:rsidTr="0081007B">
        <w:trPr>
          <w:jc w:val="center"/>
        </w:trPr>
        <w:tc>
          <w:tcPr>
            <w:tcW w:w="4876" w:type="dxa"/>
          </w:tcPr>
          <w:p w14:paraId="3B5F35E7"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4EA3B78F" w14:textId="77777777" w:rsidR="004A6753" w:rsidRPr="001F36C8" w:rsidRDefault="004A6753" w:rsidP="0081007B">
            <w:pPr>
              <w:pStyle w:val="ColumnHeading"/>
              <w:keepNext/>
              <w:rPr>
                <w:lang w:val="en-GB"/>
              </w:rPr>
            </w:pPr>
            <w:r w:rsidRPr="001F36C8">
              <w:rPr>
                <w:lang w:val="en-GB"/>
              </w:rPr>
              <w:t>Amendment</w:t>
            </w:r>
          </w:p>
        </w:tc>
      </w:tr>
      <w:tr w:rsidR="004A6753" w:rsidRPr="001F36C8" w14:paraId="72899D0B" w14:textId="77777777" w:rsidTr="0081007B">
        <w:trPr>
          <w:jc w:val="center"/>
        </w:trPr>
        <w:tc>
          <w:tcPr>
            <w:tcW w:w="4876" w:type="dxa"/>
          </w:tcPr>
          <w:p w14:paraId="321F38F2" w14:textId="77777777" w:rsidR="004A6753" w:rsidRPr="00EE201B" w:rsidRDefault="00EE201B" w:rsidP="0081007B">
            <w:pPr>
              <w:pStyle w:val="Normal6"/>
              <w:rPr>
                <w:lang w:val="en-GB"/>
              </w:rPr>
            </w:pPr>
            <w:r w:rsidRPr="00EE201B">
              <w:rPr>
                <w:lang w:val="en-GB"/>
              </w:rPr>
              <w:t>90</w:t>
            </w:r>
            <w:r w:rsidRPr="00EE201B">
              <w:rPr>
                <w:lang w:val="en-GB"/>
              </w:rPr>
              <w:tab/>
              <w:t>Flexibility between direct payments allocations and EAFRD allocations</w:t>
            </w:r>
          </w:p>
        </w:tc>
        <w:tc>
          <w:tcPr>
            <w:tcW w:w="4876" w:type="dxa"/>
          </w:tcPr>
          <w:p w14:paraId="72D86438" w14:textId="77777777" w:rsidR="004A6753" w:rsidRPr="001F36C8" w:rsidRDefault="00EE201B" w:rsidP="0081007B">
            <w:pPr>
              <w:pStyle w:val="Normal6"/>
              <w:rPr>
                <w:szCs w:val="24"/>
                <w:lang w:val="en-GB"/>
              </w:rPr>
            </w:pPr>
            <w:r w:rsidRPr="00EE201B">
              <w:rPr>
                <w:lang w:val="en-GB"/>
              </w:rPr>
              <w:t>90</w:t>
            </w:r>
            <w:r w:rsidRPr="00EE201B">
              <w:rPr>
                <w:lang w:val="en-GB"/>
              </w:rPr>
              <w:tab/>
              <w:t>Flexibility between direct payments allocations and EAFRD allocations</w:t>
            </w:r>
          </w:p>
        </w:tc>
      </w:tr>
      <w:tr w:rsidR="004A6753" w:rsidRPr="001F36C8" w14:paraId="1C0B1BCB" w14:textId="77777777" w:rsidTr="0081007B">
        <w:trPr>
          <w:jc w:val="center"/>
        </w:trPr>
        <w:tc>
          <w:tcPr>
            <w:tcW w:w="4876" w:type="dxa"/>
          </w:tcPr>
          <w:p w14:paraId="245AB3FF" w14:textId="77777777" w:rsidR="004A6753" w:rsidRPr="00EE201B" w:rsidRDefault="00EE201B" w:rsidP="0081007B">
            <w:pPr>
              <w:pStyle w:val="Normal6"/>
              <w:rPr>
                <w:lang w:val="en-GB"/>
              </w:rPr>
            </w:pPr>
            <w:r w:rsidRPr="00EE201B">
              <w:rPr>
                <w:lang w:val="en-GB"/>
              </w:rPr>
              <w:t>1.</w:t>
            </w:r>
            <w:r w:rsidRPr="00EE201B">
              <w:rPr>
                <w:lang w:val="en-GB"/>
              </w:rPr>
              <w:tab/>
            </w:r>
          </w:p>
        </w:tc>
        <w:tc>
          <w:tcPr>
            <w:tcW w:w="4876" w:type="dxa"/>
          </w:tcPr>
          <w:p w14:paraId="46B800FF" w14:textId="77777777" w:rsidR="004A6753" w:rsidRPr="001F36C8" w:rsidRDefault="00EE201B" w:rsidP="0081007B">
            <w:pPr>
              <w:pStyle w:val="Normal6"/>
              <w:rPr>
                <w:szCs w:val="24"/>
                <w:lang w:val="en-GB"/>
              </w:rPr>
            </w:pPr>
            <w:r w:rsidRPr="00EE201B">
              <w:rPr>
                <w:lang w:val="en-GB"/>
              </w:rPr>
              <w:t>1.</w:t>
            </w:r>
            <w:r w:rsidRPr="00EE201B">
              <w:rPr>
                <w:lang w:val="en-GB"/>
              </w:rPr>
              <w:tab/>
            </w:r>
          </w:p>
        </w:tc>
      </w:tr>
      <w:tr w:rsidR="004A6753" w:rsidRPr="001F36C8" w14:paraId="45D52C9A" w14:textId="77777777" w:rsidTr="0081007B">
        <w:trPr>
          <w:jc w:val="center"/>
        </w:trPr>
        <w:tc>
          <w:tcPr>
            <w:tcW w:w="4876" w:type="dxa"/>
          </w:tcPr>
          <w:p w14:paraId="7135F676" w14:textId="77777777" w:rsidR="004A6753" w:rsidRPr="00EE201B" w:rsidRDefault="00EE201B" w:rsidP="0081007B">
            <w:pPr>
              <w:pStyle w:val="Normal6"/>
              <w:rPr>
                <w:lang w:val="en-GB"/>
              </w:rPr>
            </w:pPr>
            <w:r w:rsidRPr="00EE201B">
              <w:rPr>
                <w:lang w:val="en-GB"/>
              </w:rPr>
              <w:t>As part of their CAP Strategic Plan proposal referred to in Article 106(1), Member States may decide to transfer:</w:t>
            </w:r>
          </w:p>
        </w:tc>
        <w:tc>
          <w:tcPr>
            <w:tcW w:w="4876" w:type="dxa"/>
          </w:tcPr>
          <w:p w14:paraId="3E3D0427" w14:textId="77777777" w:rsidR="004A6753" w:rsidRPr="001F36C8" w:rsidRDefault="00EE201B" w:rsidP="0081007B">
            <w:pPr>
              <w:pStyle w:val="Normal6"/>
              <w:rPr>
                <w:szCs w:val="24"/>
                <w:lang w:val="en-GB"/>
              </w:rPr>
            </w:pPr>
            <w:r w:rsidRPr="00EE201B">
              <w:rPr>
                <w:lang w:val="en-GB"/>
              </w:rPr>
              <w:t>As part of their CAP Strategic Plan proposal referred to in Article 106(1), Member States may decide to transfer:</w:t>
            </w:r>
          </w:p>
        </w:tc>
      </w:tr>
      <w:tr w:rsidR="004A6753" w:rsidRPr="001F36C8" w14:paraId="46EA1B7C" w14:textId="77777777" w:rsidTr="0081007B">
        <w:trPr>
          <w:jc w:val="center"/>
        </w:trPr>
        <w:tc>
          <w:tcPr>
            <w:tcW w:w="4876" w:type="dxa"/>
          </w:tcPr>
          <w:p w14:paraId="1E1CE105" w14:textId="77777777" w:rsidR="004A6753" w:rsidRPr="00EE201B" w:rsidRDefault="00EE201B" w:rsidP="0081007B">
            <w:pPr>
              <w:pStyle w:val="Normal6"/>
              <w:rPr>
                <w:lang w:val="en-GB"/>
              </w:rPr>
            </w:pPr>
            <w:r w:rsidRPr="00EE201B">
              <w:rPr>
                <w:lang w:val="en-GB"/>
              </w:rPr>
              <w:t>(a)</w:t>
            </w:r>
            <w:r w:rsidRPr="00EE201B">
              <w:rPr>
                <w:lang w:val="en-GB"/>
              </w:rPr>
              <w:tab/>
              <w:t xml:space="preserve">up to </w:t>
            </w:r>
            <w:r w:rsidRPr="006D22F9">
              <w:rPr>
                <w:b/>
                <w:i/>
                <w:lang w:val="en-GB"/>
              </w:rPr>
              <w:t>15%</w:t>
            </w:r>
            <w:r w:rsidRPr="00EE201B">
              <w:rPr>
                <w:lang w:val="en-GB"/>
              </w:rPr>
              <w:t xml:space="preserve"> of the Member State's </w:t>
            </w:r>
            <w:r w:rsidRPr="006D22F9">
              <w:rPr>
                <w:b/>
                <w:i/>
                <w:lang w:val="en-GB"/>
              </w:rPr>
              <w:t>allocation</w:t>
            </w:r>
            <w:r w:rsidRPr="00EE201B">
              <w:rPr>
                <w:lang w:val="en-GB"/>
              </w:rPr>
              <w:t xml:space="preserve"> for direct payments set out in Annex IV after deduction of the allocations for cotton set in Annex VI for calendar years </w:t>
            </w:r>
            <w:r w:rsidRPr="006D22F9">
              <w:rPr>
                <w:b/>
                <w:i/>
                <w:lang w:val="en-GB"/>
              </w:rPr>
              <w:t>2021</w:t>
            </w:r>
            <w:r w:rsidRPr="00EE201B">
              <w:rPr>
                <w:lang w:val="en-GB"/>
              </w:rPr>
              <w:t xml:space="preserve"> to 2026 to the Member State's allocation for EAFRD in financial years </w:t>
            </w:r>
            <w:r w:rsidRPr="006D22F9">
              <w:rPr>
                <w:b/>
                <w:i/>
                <w:lang w:val="en-GB"/>
              </w:rPr>
              <w:t>2022 – 2027</w:t>
            </w:r>
            <w:r w:rsidRPr="00EE201B">
              <w:rPr>
                <w:lang w:val="en-GB"/>
              </w:rPr>
              <w:t>; or</w:t>
            </w:r>
          </w:p>
        </w:tc>
        <w:tc>
          <w:tcPr>
            <w:tcW w:w="4876" w:type="dxa"/>
          </w:tcPr>
          <w:p w14:paraId="54F144D2" w14:textId="77777777" w:rsidR="004A6753" w:rsidRPr="001F36C8" w:rsidRDefault="00EE201B" w:rsidP="0081007B">
            <w:pPr>
              <w:pStyle w:val="Normal6"/>
              <w:rPr>
                <w:lang w:val="en-GB"/>
              </w:rPr>
            </w:pPr>
            <w:r w:rsidRPr="00EE201B">
              <w:rPr>
                <w:lang w:val="en-GB"/>
              </w:rPr>
              <w:t>(a)</w:t>
            </w:r>
            <w:commentRangeStart w:id="47"/>
            <w:r w:rsidRPr="00EE201B">
              <w:rPr>
                <w:lang w:val="en-GB"/>
              </w:rPr>
              <w:tab/>
              <w:t xml:space="preserve">up to </w:t>
            </w:r>
            <w:r w:rsidRPr="007E4369">
              <w:rPr>
                <w:b/>
                <w:i/>
                <w:color w:val="FF0000"/>
                <w:lang w:val="en-GB"/>
              </w:rPr>
              <w:t>12%</w:t>
            </w:r>
            <w:r w:rsidRPr="00EE201B">
              <w:rPr>
                <w:lang w:val="en-GB"/>
              </w:rPr>
              <w:t xml:space="preserve"> of the Member State's </w:t>
            </w:r>
            <w:r w:rsidRPr="006D22F9">
              <w:rPr>
                <w:b/>
                <w:i/>
                <w:lang w:val="en-GB"/>
              </w:rPr>
              <w:t>total allocations</w:t>
            </w:r>
            <w:commentRangeEnd w:id="47"/>
            <w:r>
              <w:rPr>
                <w:rStyle w:val="CommentReference"/>
              </w:rPr>
              <w:commentReference w:id="47"/>
            </w:r>
            <w:r w:rsidRPr="00EE201B">
              <w:rPr>
                <w:lang w:val="en-GB"/>
              </w:rPr>
              <w:t xml:space="preserve"> for direct payments set out in Annex IV after deduction of the allocations for cotton set in Annex VI for calendar years </w:t>
            </w:r>
            <w:r w:rsidRPr="006D22F9">
              <w:rPr>
                <w:b/>
                <w:i/>
                <w:lang w:val="en-GB"/>
              </w:rPr>
              <w:t>2023</w:t>
            </w:r>
            <w:r w:rsidRPr="00EE201B">
              <w:rPr>
                <w:lang w:val="en-GB"/>
              </w:rPr>
              <w:t xml:space="preserve"> to 2026 </w:t>
            </w:r>
            <w:r w:rsidRPr="006D22F9">
              <w:rPr>
                <w:b/>
                <w:i/>
                <w:lang w:val="en-GB"/>
              </w:rPr>
              <w:t>and transferred</w:t>
            </w:r>
            <w:r w:rsidRPr="00EE201B">
              <w:rPr>
                <w:lang w:val="en-GB"/>
              </w:rPr>
              <w:t xml:space="preserve"> to the Member State's allocation for EAFRD in financial years </w:t>
            </w:r>
            <w:r w:rsidRPr="006D22F9">
              <w:rPr>
                <w:b/>
                <w:i/>
                <w:lang w:val="en-GB"/>
              </w:rPr>
              <w:t xml:space="preserve">2024 – 2027, provided that Member States use the corresponding increase for agri-environmental interventions referred to in Article 65 </w:t>
            </w:r>
            <w:r w:rsidRPr="007E4369">
              <w:rPr>
                <w:b/>
                <w:i/>
                <w:color w:val="FF0000"/>
                <w:lang w:val="en-GB"/>
              </w:rPr>
              <w:t>whose beneficiaries are farmers</w:t>
            </w:r>
            <w:r w:rsidRPr="00EE201B">
              <w:rPr>
                <w:lang w:val="en-GB"/>
              </w:rPr>
              <w:t>; or</w:t>
            </w:r>
          </w:p>
        </w:tc>
      </w:tr>
      <w:tr w:rsidR="004A6753" w:rsidRPr="001F36C8" w14:paraId="52B16C08" w14:textId="77777777" w:rsidTr="0081007B">
        <w:trPr>
          <w:jc w:val="center"/>
        </w:trPr>
        <w:tc>
          <w:tcPr>
            <w:tcW w:w="4876" w:type="dxa"/>
          </w:tcPr>
          <w:p w14:paraId="1E2D2CCE" w14:textId="77777777" w:rsidR="004A6753" w:rsidRPr="00EE201B" w:rsidRDefault="00EE201B" w:rsidP="0081007B">
            <w:pPr>
              <w:pStyle w:val="Normal6"/>
              <w:rPr>
                <w:lang w:val="en-GB"/>
              </w:rPr>
            </w:pPr>
            <w:r w:rsidRPr="00EE201B">
              <w:rPr>
                <w:lang w:val="en-GB"/>
              </w:rPr>
              <w:t>(b)</w:t>
            </w:r>
            <w:r w:rsidRPr="00EE201B">
              <w:rPr>
                <w:lang w:val="en-GB"/>
              </w:rPr>
              <w:tab/>
              <w:t xml:space="preserve">up to </w:t>
            </w:r>
            <w:r w:rsidRPr="006D22F9">
              <w:rPr>
                <w:b/>
                <w:i/>
                <w:lang w:val="en-GB"/>
              </w:rPr>
              <w:t>15%</w:t>
            </w:r>
            <w:r w:rsidRPr="00EE201B">
              <w:rPr>
                <w:lang w:val="en-GB"/>
              </w:rPr>
              <w:t xml:space="preserve"> of the Member State's </w:t>
            </w:r>
            <w:r w:rsidRPr="00EE201B">
              <w:rPr>
                <w:lang w:val="en-GB"/>
              </w:rPr>
              <w:lastRenderedPageBreak/>
              <w:t xml:space="preserve">allocation for EAFRD in financial years </w:t>
            </w:r>
            <w:r w:rsidRPr="006D22F9">
              <w:rPr>
                <w:b/>
                <w:i/>
                <w:lang w:val="en-GB"/>
              </w:rPr>
              <w:t>2022</w:t>
            </w:r>
            <w:r w:rsidRPr="00EE201B">
              <w:rPr>
                <w:lang w:val="en-GB"/>
              </w:rPr>
              <w:t xml:space="preserve"> – 2027 to the Member State's allocation for direct payments set out in Annex IV for calendar years </w:t>
            </w:r>
            <w:r w:rsidRPr="006D22F9">
              <w:rPr>
                <w:b/>
                <w:i/>
                <w:lang w:val="en-GB"/>
              </w:rPr>
              <w:t>2021</w:t>
            </w:r>
            <w:r w:rsidRPr="00EE201B">
              <w:rPr>
                <w:lang w:val="en-GB"/>
              </w:rPr>
              <w:t xml:space="preserve"> to 2026.</w:t>
            </w:r>
          </w:p>
        </w:tc>
        <w:tc>
          <w:tcPr>
            <w:tcW w:w="4876" w:type="dxa"/>
          </w:tcPr>
          <w:p w14:paraId="461C9C9F" w14:textId="77777777" w:rsidR="004A6753" w:rsidRPr="001F36C8" w:rsidRDefault="00EE201B" w:rsidP="0081007B">
            <w:pPr>
              <w:pStyle w:val="Normal6"/>
              <w:rPr>
                <w:lang w:val="en-GB"/>
              </w:rPr>
            </w:pPr>
            <w:r w:rsidRPr="00EE201B">
              <w:rPr>
                <w:lang w:val="en-GB"/>
              </w:rPr>
              <w:lastRenderedPageBreak/>
              <w:t>(b)</w:t>
            </w:r>
            <w:r w:rsidRPr="00EE201B">
              <w:rPr>
                <w:lang w:val="en-GB"/>
              </w:rPr>
              <w:tab/>
              <w:t xml:space="preserve">up to </w:t>
            </w:r>
            <w:commentRangeStart w:id="48"/>
            <w:r w:rsidRPr="004C7551">
              <w:rPr>
                <w:b/>
                <w:i/>
                <w:color w:val="00B050"/>
                <w:lang w:val="en-GB"/>
              </w:rPr>
              <w:t xml:space="preserve">5 </w:t>
            </w:r>
            <w:commentRangeEnd w:id="48"/>
            <w:r>
              <w:rPr>
                <w:rStyle w:val="CommentReference"/>
              </w:rPr>
              <w:commentReference w:id="48"/>
            </w:r>
            <w:r w:rsidRPr="004C7551">
              <w:rPr>
                <w:b/>
                <w:i/>
                <w:color w:val="00B050"/>
                <w:lang w:val="en-GB"/>
              </w:rPr>
              <w:t>%</w:t>
            </w:r>
            <w:r w:rsidRPr="00EE201B">
              <w:rPr>
                <w:lang w:val="en-GB"/>
              </w:rPr>
              <w:t xml:space="preserve"> of the Member State's </w:t>
            </w:r>
            <w:r w:rsidRPr="00EE201B">
              <w:rPr>
                <w:lang w:val="en-GB"/>
              </w:rPr>
              <w:lastRenderedPageBreak/>
              <w:t xml:space="preserve">allocation for EAFRD in financial years </w:t>
            </w:r>
            <w:r w:rsidRPr="006D22F9">
              <w:rPr>
                <w:b/>
                <w:i/>
                <w:lang w:val="en-GB"/>
              </w:rPr>
              <w:t>2024</w:t>
            </w:r>
            <w:r w:rsidRPr="00EE201B">
              <w:rPr>
                <w:lang w:val="en-GB"/>
              </w:rPr>
              <w:t xml:space="preserve"> – 2027 to the Member State's allocation for direct payments set out in Annex IV for calendar years </w:t>
            </w:r>
            <w:r w:rsidRPr="006D22F9">
              <w:rPr>
                <w:b/>
                <w:i/>
                <w:lang w:val="en-GB"/>
              </w:rPr>
              <w:t>2023</w:t>
            </w:r>
            <w:r w:rsidRPr="00EE201B">
              <w:rPr>
                <w:lang w:val="en-GB"/>
              </w:rPr>
              <w:t xml:space="preserve"> to 2026</w:t>
            </w:r>
            <w:r w:rsidRPr="006D22F9">
              <w:rPr>
                <w:b/>
                <w:i/>
                <w:lang w:val="en-GB"/>
              </w:rPr>
              <w:t xml:space="preserve">, </w:t>
            </w:r>
            <w:r w:rsidRPr="004C7551">
              <w:rPr>
                <w:b/>
                <w:i/>
                <w:color w:val="00B050"/>
                <w:lang w:val="en-GB"/>
              </w:rPr>
              <w:t>provided that the corresponding increase is allocated to operations covered by Article 28</w:t>
            </w:r>
            <w:r w:rsidRPr="00EE201B">
              <w:rPr>
                <w:lang w:val="en-GB"/>
              </w:rPr>
              <w:t>.</w:t>
            </w:r>
          </w:p>
        </w:tc>
      </w:tr>
      <w:tr w:rsidR="004A6753" w:rsidRPr="001F36C8" w14:paraId="3EE75D90" w14:textId="77777777" w:rsidTr="0081007B">
        <w:trPr>
          <w:jc w:val="center"/>
        </w:trPr>
        <w:tc>
          <w:tcPr>
            <w:tcW w:w="4876" w:type="dxa"/>
          </w:tcPr>
          <w:p w14:paraId="7B8A5ACD" w14:textId="77777777" w:rsidR="004A6753" w:rsidRPr="00EE201B" w:rsidRDefault="00EE201B" w:rsidP="0081007B">
            <w:pPr>
              <w:pStyle w:val="Normal6"/>
              <w:rPr>
                <w:lang w:val="en-GB"/>
              </w:rPr>
            </w:pPr>
            <w:r w:rsidRPr="006D22F9">
              <w:rPr>
                <w:b/>
                <w:i/>
                <w:lang w:val="en-GB"/>
              </w:rPr>
              <w:lastRenderedPageBreak/>
              <w:t>The percentage of</w:t>
            </w:r>
            <w:r w:rsidRPr="00EE201B">
              <w:rPr>
                <w:lang w:val="en-GB"/>
              </w:rPr>
              <w:t xml:space="preserve"> transfer </w:t>
            </w:r>
            <w:r w:rsidRPr="006D22F9">
              <w:rPr>
                <w:b/>
                <w:i/>
                <w:lang w:val="en-GB"/>
              </w:rPr>
              <w:t>from Member State's</w:t>
            </w:r>
            <w:r w:rsidRPr="00EE201B">
              <w:rPr>
                <w:lang w:val="en-GB"/>
              </w:rPr>
              <w:t xml:space="preserve"> allocation for direct payments </w:t>
            </w:r>
            <w:r w:rsidRPr="006D22F9">
              <w:rPr>
                <w:b/>
                <w:i/>
                <w:lang w:val="en-GB"/>
              </w:rPr>
              <w:t>to its allocation for EAFRD</w:t>
            </w:r>
            <w:r w:rsidRPr="00EE201B">
              <w:rPr>
                <w:lang w:val="en-GB"/>
              </w:rPr>
              <w:t xml:space="preserve"> referred to in </w:t>
            </w:r>
            <w:r w:rsidRPr="006D22F9">
              <w:rPr>
                <w:b/>
                <w:i/>
                <w:lang w:val="en-GB"/>
              </w:rPr>
              <w:t>the first subparagraph may be increased by:</w:t>
            </w:r>
          </w:p>
        </w:tc>
        <w:tc>
          <w:tcPr>
            <w:tcW w:w="4876" w:type="dxa"/>
          </w:tcPr>
          <w:p w14:paraId="05CA59E5" w14:textId="77777777" w:rsidR="004A6753" w:rsidRPr="001F36C8" w:rsidRDefault="00EE201B" w:rsidP="0081007B">
            <w:pPr>
              <w:pStyle w:val="Normal6"/>
              <w:rPr>
                <w:szCs w:val="24"/>
                <w:lang w:val="en-GB"/>
              </w:rPr>
            </w:pPr>
            <w:r w:rsidRPr="006D22F9">
              <w:rPr>
                <w:b/>
                <w:i/>
                <w:lang w:val="en-GB"/>
              </w:rPr>
              <w:t>By way of derogation from point (b) of the previous sub-paragraph, Member States whose national average amount per hectare is below the EU average, may</w:t>
            </w:r>
            <w:r w:rsidRPr="00EE201B">
              <w:rPr>
                <w:lang w:val="en-GB"/>
              </w:rPr>
              <w:t xml:space="preserve"> transfer </w:t>
            </w:r>
            <w:r w:rsidRPr="006D22F9">
              <w:rPr>
                <w:b/>
                <w:i/>
                <w:lang w:val="en-GB"/>
              </w:rPr>
              <w:t>up to 12% of the EAFRD allocations to their</w:t>
            </w:r>
            <w:r w:rsidRPr="00EE201B">
              <w:rPr>
                <w:lang w:val="en-GB"/>
              </w:rPr>
              <w:t xml:space="preserve"> allocation for direct payments</w:t>
            </w:r>
            <w:r w:rsidRPr="006D22F9">
              <w:rPr>
                <w:b/>
                <w:i/>
                <w:lang w:val="en-GB"/>
              </w:rPr>
              <w:t>. The transfer shall however not be higher than the amount necessary to bring their national average amount per hectare in line with the EU average. It shall be entirely allocated to the interventions</w:t>
            </w:r>
            <w:r w:rsidRPr="00EE201B">
              <w:rPr>
                <w:lang w:val="en-GB"/>
              </w:rPr>
              <w:t xml:space="preserve"> referred to in </w:t>
            </w:r>
            <w:r w:rsidRPr="006D22F9">
              <w:rPr>
                <w:b/>
                <w:i/>
                <w:lang w:val="en-GB"/>
              </w:rPr>
              <w:t>Article 28.</w:t>
            </w:r>
          </w:p>
        </w:tc>
      </w:tr>
      <w:tr w:rsidR="004A6753" w:rsidRPr="001F36C8" w14:paraId="6630DE7B" w14:textId="77777777" w:rsidTr="0081007B">
        <w:trPr>
          <w:jc w:val="center"/>
        </w:trPr>
        <w:tc>
          <w:tcPr>
            <w:tcW w:w="4876" w:type="dxa"/>
          </w:tcPr>
          <w:p w14:paraId="4CFD4011" w14:textId="77777777" w:rsidR="004A6753" w:rsidRPr="00EE201B" w:rsidRDefault="00EE201B" w:rsidP="0081007B">
            <w:pPr>
              <w:pStyle w:val="Normal6"/>
              <w:rPr>
                <w:lang w:val="en-GB"/>
              </w:rPr>
            </w:pPr>
            <w:r w:rsidRPr="006D22F9">
              <w:rPr>
                <w:b/>
                <w:i/>
                <w:lang w:val="en-GB"/>
              </w:rPr>
              <w:t>(a)</w:t>
            </w:r>
            <w:r w:rsidRPr="00EE201B">
              <w:rPr>
                <w:lang w:val="en-GB"/>
              </w:rPr>
              <w:t xml:space="preserve"> </w:t>
            </w:r>
            <w:r w:rsidRPr="006D22F9">
              <w:rPr>
                <w:b/>
                <w:i/>
                <w:lang w:val="en-GB"/>
              </w:rPr>
              <w:t>up to 15 percentage points provided that Member States use the corresponding increase for EAFRD financed interventions addressing the specific environmental- and climate-related objectives referred to in points (d), (e) and (f) of Article 6(1);</w:t>
            </w:r>
          </w:p>
        </w:tc>
        <w:tc>
          <w:tcPr>
            <w:tcW w:w="4876" w:type="dxa"/>
          </w:tcPr>
          <w:p w14:paraId="2A8FB574" w14:textId="77777777" w:rsidR="004A6753" w:rsidRPr="001F36C8" w:rsidRDefault="004A6753" w:rsidP="0081007B">
            <w:pPr>
              <w:pStyle w:val="Normal6"/>
              <w:rPr>
                <w:szCs w:val="24"/>
                <w:lang w:val="en-GB"/>
              </w:rPr>
            </w:pPr>
          </w:p>
        </w:tc>
      </w:tr>
      <w:tr w:rsidR="004A6753" w:rsidRPr="001F36C8" w14:paraId="2353C221" w14:textId="77777777" w:rsidTr="0081007B">
        <w:trPr>
          <w:jc w:val="center"/>
        </w:trPr>
        <w:tc>
          <w:tcPr>
            <w:tcW w:w="4876" w:type="dxa"/>
          </w:tcPr>
          <w:p w14:paraId="7BD40F7D" w14:textId="77777777" w:rsidR="004A6753" w:rsidRPr="00EE201B" w:rsidRDefault="00EE201B" w:rsidP="0081007B">
            <w:pPr>
              <w:pStyle w:val="Normal6"/>
              <w:rPr>
                <w:lang w:val="en-GB"/>
              </w:rPr>
            </w:pPr>
            <w:r w:rsidRPr="006D22F9">
              <w:rPr>
                <w:b/>
                <w:i/>
                <w:lang w:val="en-GB"/>
              </w:rPr>
              <w:t>(b)</w:t>
            </w:r>
            <w:r w:rsidRPr="00EE201B">
              <w:rPr>
                <w:lang w:val="en-GB"/>
              </w:rPr>
              <w:t xml:space="preserve"> </w:t>
            </w:r>
            <w:r w:rsidRPr="006D22F9">
              <w:rPr>
                <w:b/>
                <w:i/>
                <w:lang w:val="en-GB"/>
              </w:rPr>
              <w:t>up to 2 percentage points provided that the Member States use the corresponding increase in accordance with point (b) of Article 86(5).</w:t>
            </w:r>
          </w:p>
        </w:tc>
        <w:tc>
          <w:tcPr>
            <w:tcW w:w="4876" w:type="dxa"/>
          </w:tcPr>
          <w:p w14:paraId="11632374" w14:textId="77777777" w:rsidR="004A6753" w:rsidRPr="001F36C8" w:rsidRDefault="004A6753" w:rsidP="0081007B">
            <w:pPr>
              <w:pStyle w:val="Normal6"/>
              <w:rPr>
                <w:szCs w:val="24"/>
                <w:lang w:val="en-GB"/>
              </w:rPr>
            </w:pPr>
          </w:p>
        </w:tc>
      </w:tr>
      <w:tr w:rsidR="004A6753" w:rsidRPr="001F36C8" w14:paraId="3F29CE4D" w14:textId="77777777" w:rsidTr="0081007B">
        <w:trPr>
          <w:jc w:val="center"/>
        </w:trPr>
        <w:tc>
          <w:tcPr>
            <w:tcW w:w="4876" w:type="dxa"/>
          </w:tcPr>
          <w:p w14:paraId="5F4B2D2D" w14:textId="77777777" w:rsidR="004A6753" w:rsidRPr="00EE201B" w:rsidRDefault="004A6753" w:rsidP="0081007B">
            <w:pPr>
              <w:pStyle w:val="Normal6"/>
              <w:rPr>
                <w:lang w:val="en-GB"/>
              </w:rPr>
            </w:pPr>
          </w:p>
        </w:tc>
        <w:tc>
          <w:tcPr>
            <w:tcW w:w="4876" w:type="dxa"/>
          </w:tcPr>
          <w:p w14:paraId="6210F23C" w14:textId="77777777" w:rsidR="004A6753" w:rsidRPr="001F36C8" w:rsidRDefault="00EE201B" w:rsidP="0081007B">
            <w:pPr>
              <w:pStyle w:val="Normal6"/>
              <w:rPr>
                <w:szCs w:val="24"/>
                <w:lang w:val="en-GB"/>
              </w:rPr>
            </w:pPr>
            <w:r w:rsidRPr="006D22F9">
              <w:rPr>
                <w:b/>
                <w:i/>
                <w:lang w:val="en-GB"/>
              </w:rPr>
              <w:t>The allocations for direct payments transferred according to paragraph 1(a) of this article may be deducted from the share of the contribution under either Article 86 4(a) or 4(c) or a combination of both.</w:t>
            </w:r>
          </w:p>
        </w:tc>
      </w:tr>
      <w:tr w:rsidR="004A6753" w:rsidRPr="001F36C8" w14:paraId="1BFF4E0E" w14:textId="77777777" w:rsidTr="0081007B">
        <w:trPr>
          <w:jc w:val="center"/>
        </w:trPr>
        <w:tc>
          <w:tcPr>
            <w:tcW w:w="4876" w:type="dxa"/>
          </w:tcPr>
          <w:p w14:paraId="41DC2608" w14:textId="77777777" w:rsidR="004A6753" w:rsidRPr="00EE201B" w:rsidRDefault="00EE201B" w:rsidP="0081007B">
            <w:pPr>
              <w:pStyle w:val="Normal6"/>
              <w:rPr>
                <w:lang w:val="en-GB"/>
              </w:rPr>
            </w:pPr>
            <w:r w:rsidRPr="00EE201B">
              <w:rPr>
                <w:lang w:val="en-GB"/>
              </w:rPr>
              <w:t>2.</w:t>
            </w:r>
            <w:r w:rsidRPr="00EE201B">
              <w:rPr>
                <w:lang w:val="en-GB"/>
              </w:rPr>
              <w:tab/>
              <w:t>The decisions referred to in the paragraph 1 shall set out the percentage referred to in paragraph 1, which may vary by calendar year.</w:t>
            </w:r>
          </w:p>
        </w:tc>
        <w:tc>
          <w:tcPr>
            <w:tcW w:w="4876" w:type="dxa"/>
          </w:tcPr>
          <w:p w14:paraId="35ABD461" w14:textId="77777777" w:rsidR="004A6753" w:rsidRPr="001F36C8" w:rsidRDefault="00EE201B" w:rsidP="0081007B">
            <w:pPr>
              <w:pStyle w:val="Normal6"/>
              <w:rPr>
                <w:szCs w:val="24"/>
                <w:lang w:val="en-GB"/>
              </w:rPr>
            </w:pPr>
            <w:r w:rsidRPr="00EE201B">
              <w:rPr>
                <w:lang w:val="en-GB"/>
              </w:rPr>
              <w:t>2.</w:t>
            </w:r>
            <w:r w:rsidRPr="00EE201B">
              <w:rPr>
                <w:lang w:val="en-GB"/>
              </w:rPr>
              <w:tab/>
              <w:t>The decisions referred to in the paragraph 1 shall set out the percentage referred to in paragraph 1, which may vary by calendar year.</w:t>
            </w:r>
          </w:p>
        </w:tc>
      </w:tr>
      <w:tr w:rsidR="004A6753" w:rsidRPr="001F36C8" w14:paraId="029D3B45" w14:textId="77777777" w:rsidTr="0081007B">
        <w:trPr>
          <w:jc w:val="center"/>
        </w:trPr>
        <w:tc>
          <w:tcPr>
            <w:tcW w:w="4876" w:type="dxa"/>
          </w:tcPr>
          <w:p w14:paraId="2C622722" w14:textId="77777777" w:rsidR="004A6753" w:rsidRPr="00EE201B" w:rsidRDefault="00EE201B" w:rsidP="0081007B">
            <w:pPr>
              <w:pStyle w:val="Normal6"/>
              <w:rPr>
                <w:lang w:val="en-GB"/>
              </w:rPr>
            </w:pPr>
            <w:r w:rsidRPr="00EE201B">
              <w:rPr>
                <w:lang w:val="en-GB"/>
              </w:rPr>
              <w:t>3.</w:t>
            </w:r>
            <w:r w:rsidRPr="00EE201B">
              <w:rPr>
                <w:lang w:val="en-GB"/>
              </w:rPr>
              <w:tab/>
              <w:t xml:space="preserve">Member States may, in </w:t>
            </w:r>
            <w:r w:rsidRPr="006D22F9">
              <w:rPr>
                <w:b/>
                <w:i/>
                <w:lang w:val="en-GB"/>
              </w:rPr>
              <w:t>2023</w:t>
            </w:r>
            <w:r w:rsidRPr="00EE201B">
              <w:rPr>
                <w:lang w:val="en-GB"/>
              </w:rPr>
              <w:t>, review their decisions referred to in paragraph 1 as part of a request for amendment of their CAP Strategic Plans, referred to in Article 107.</w:t>
            </w:r>
          </w:p>
        </w:tc>
        <w:tc>
          <w:tcPr>
            <w:tcW w:w="4876" w:type="dxa"/>
          </w:tcPr>
          <w:p w14:paraId="4C841818" w14:textId="77777777" w:rsidR="004A6753" w:rsidRPr="001F36C8" w:rsidRDefault="00EE201B" w:rsidP="0081007B">
            <w:pPr>
              <w:pStyle w:val="Normal6"/>
              <w:rPr>
                <w:szCs w:val="24"/>
                <w:lang w:val="en-GB"/>
              </w:rPr>
            </w:pPr>
            <w:r w:rsidRPr="00EE201B">
              <w:rPr>
                <w:lang w:val="en-GB"/>
              </w:rPr>
              <w:t>3.</w:t>
            </w:r>
            <w:r w:rsidRPr="00EE201B">
              <w:rPr>
                <w:lang w:val="en-GB"/>
              </w:rPr>
              <w:tab/>
              <w:t xml:space="preserve">Member States may, in </w:t>
            </w:r>
            <w:r w:rsidRPr="006D22F9">
              <w:rPr>
                <w:b/>
                <w:i/>
                <w:lang w:val="en-GB"/>
              </w:rPr>
              <w:t>2024</w:t>
            </w:r>
            <w:r w:rsidRPr="00EE201B">
              <w:rPr>
                <w:lang w:val="en-GB"/>
              </w:rPr>
              <w:t>, review their decisions referred to in paragraph 1 as part of a request for amendment of their CAP Strategic Plans, referred to in Article 107.</w:t>
            </w:r>
          </w:p>
        </w:tc>
      </w:tr>
      <w:tr w:rsidR="004A6753" w:rsidRPr="001F36C8" w14:paraId="53D5BC9D" w14:textId="77777777" w:rsidTr="0081007B">
        <w:trPr>
          <w:jc w:val="center"/>
        </w:trPr>
        <w:tc>
          <w:tcPr>
            <w:tcW w:w="4876" w:type="dxa"/>
          </w:tcPr>
          <w:p w14:paraId="64F784C8" w14:textId="77777777" w:rsidR="004A6753" w:rsidRPr="00EE201B" w:rsidRDefault="004A6753" w:rsidP="0081007B">
            <w:pPr>
              <w:pStyle w:val="Normal6"/>
              <w:rPr>
                <w:lang w:val="en-GB"/>
              </w:rPr>
            </w:pPr>
          </w:p>
        </w:tc>
        <w:tc>
          <w:tcPr>
            <w:tcW w:w="4876" w:type="dxa"/>
          </w:tcPr>
          <w:p w14:paraId="06ADC7C6" w14:textId="77777777" w:rsidR="004A6753" w:rsidRPr="001F36C8" w:rsidRDefault="00EE201B" w:rsidP="0081007B">
            <w:pPr>
              <w:pStyle w:val="Normal6"/>
              <w:rPr>
                <w:szCs w:val="24"/>
                <w:lang w:val="en-GB"/>
              </w:rPr>
            </w:pPr>
            <w:r w:rsidRPr="006D22F9">
              <w:rPr>
                <w:b/>
                <w:i/>
                <w:lang w:val="en-GB"/>
              </w:rPr>
              <w:t xml:space="preserve">Member States shall communicate their decisions referred to in paragraph 1 along with their decision on the application of Article 15 and Article 26 to the </w:t>
            </w:r>
            <w:r w:rsidRPr="006D22F9">
              <w:rPr>
                <w:b/>
                <w:i/>
                <w:lang w:val="en-GB"/>
              </w:rPr>
              <w:lastRenderedPageBreak/>
              <w:t>Commission by 31 December 2021.</w:t>
            </w:r>
          </w:p>
        </w:tc>
      </w:tr>
    </w:tbl>
    <w:p w14:paraId="49B1AA07" w14:textId="77777777" w:rsidR="004A6753" w:rsidRDefault="004A6753" w:rsidP="004A6753">
      <w:pPr>
        <w:pStyle w:val="Olang0000000000000000"/>
        <w:rPr>
          <w:sz w:val="24"/>
          <w:szCs w:val="24"/>
        </w:rPr>
      </w:pPr>
      <w:r w:rsidRPr="001F36C8">
        <w:rPr>
          <w:sz w:val="24"/>
          <w:szCs w:val="24"/>
        </w:rPr>
        <w:lastRenderedPageBreak/>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3FD4A3F6" w14:textId="77777777" w:rsidR="004A6753" w:rsidRPr="001F36C8" w:rsidRDefault="004A6753" w:rsidP="004A6753">
      <w:r w:rsidRPr="001F36C8">
        <w:rPr>
          <w:rStyle w:val="HideTWBExt"/>
        </w:rPr>
        <w:t>&lt;/Amend&gt;</w:t>
      </w:r>
    </w:p>
    <w:p w14:paraId="5BA2F0E7"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00480788">
        <w:rPr>
          <w:lang w:val="en-GB"/>
        </w:rPr>
        <w:t>11</w:t>
      </w:r>
      <w:r w:rsidRPr="001F36C8">
        <w:rPr>
          <w:rStyle w:val="HideTWBExt"/>
          <w:b w:val="0"/>
          <w:lang w:val="en-GB"/>
        </w:rPr>
        <w:t>&lt;NumAm&gt;&lt;/NumAm&gt;</w:t>
      </w:r>
    </w:p>
    <w:p w14:paraId="1500B446"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5710998D" w14:textId="77777777" w:rsidR="004A6753" w:rsidRPr="00ED66A2" w:rsidRDefault="004A6753" w:rsidP="004A6753">
      <w:r w:rsidRPr="007E6396">
        <w:rPr>
          <w:rStyle w:val="HideTWBExt"/>
        </w:rPr>
        <w:t>&lt;/RepeatBlock-By&gt;</w:t>
      </w:r>
    </w:p>
    <w:p w14:paraId="32DF91F0"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45EE6440"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107 a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4CBB60FB" w14:textId="77777777" w:rsidTr="0081007B">
        <w:trPr>
          <w:jc w:val="center"/>
        </w:trPr>
        <w:tc>
          <w:tcPr>
            <w:tcW w:w="9752" w:type="dxa"/>
            <w:gridSpan w:val="2"/>
          </w:tcPr>
          <w:p w14:paraId="6588D0B3" w14:textId="77777777" w:rsidR="004A6753" w:rsidRPr="001F36C8" w:rsidRDefault="004A6753" w:rsidP="0081007B">
            <w:pPr>
              <w:keepNext/>
            </w:pPr>
          </w:p>
        </w:tc>
      </w:tr>
      <w:tr w:rsidR="004A6753" w:rsidRPr="001F36C8" w14:paraId="660BDDAB" w14:textId="77777777" w:rsidTr="0081007B">
        <w:trPr>
          <w:jc w:val="center"/>
        </w:trPr>
        <w:tc>
          <w:tcPr>
            <w:tcW w:w="4876" w:type="dxa"/>
          </w:tcPr>
          <w:p w14:paraId="4B8463FC"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30FC9C7B" w14:textId="77777777" w:rsidR="004A6753" w:rsidRPr="001F36C8" w:rsidRDefault="004A6753" w:rsidP="0081007B">
            <w:pPr>
              <w:pStyle w:val="ColumnHeading"/>
              <w:keepNext/>
              <w:rPr>
                <w:lang w:val="en-GB"/>
              </w:rPr>
            </w:pPr>
            <w:r w:rsidRPr="001F36C8">
              <w:rPr>
                <w:lang w:val="en-GB"/>
              </w:rPr>
              <w:t>Amendment</w:t>
            </w:r>
          </w:p>
        </w:tc>
      </w:tr>
      <w:tr w:rsidR="004A6753" w:rsidRPr="001F36C8" w14:paraId="0FF82460" w14:textId="77777777" w:rsidTr="0081007B">
        <w:trPr>
          <w:jc w:val="center"/>
        </w:trPr>
        <w:tc>
          <w:tcPr>
            <w:tcW w:w="4876" w:type="dxa"/>
          </w:tcPr>
          <w:p w14:paraId="7043D1CB" w14:textId="77777777" w:rsidR="004A6753" w:rsidRPr="00EE201B" w:rsidRDefault="004A6753" w:rsidP="0081007B">
            <w:pPr>
              <w:pStyle w:val="Normal6"/>
              <w:rPr>
                <w:lang w:val="en-GB"/>
              </w:rPr>
            </w:pPr>
          </w:p>
        </w:tc>
        <w:tc>
          <w:tcPr>
            <w:tcW w:w="4876" w:type="dxa"/>
          </w:tcPr>
          <w:p w14:paraId="74D44F6E" w14:textId="77777777" w:rsidR="004A6753" w:rsidRPr="001F36C8" w:rsidRDefault="00EE201B" w:rsidP="0081007B">
            <w:pPr>
              <w:pStyle w:val="Normal6"/>
              <w:jc w:val="center"/>
              <w:rPr>
                <w:szCs w:val="24"/>
                <w:lang w:val="en-GB"/>
              </w:rPr>
            </w:pPr>
            <w:r w:rsidRPr="00EE201B">
              <w:rPr>
                <w:b/>
                <w:i/>
                <w:lang w:val="en-GB"/>
              </w:rPr>
              <w:t>Article 107 a</w:t>
            </w:r>
          </w:p>
        </w:tc>
      </w:tr>
      <w:tr w:rsidR="004A6753" w:rsidRPr="001F36C8" w14:paraId="75D6441C" w14:textId="77777777" w:rsidTr="0081007B">
        <w:trPr>
          <w:jc w:val="center"/>
        </w:trPr>
        <w:tc>
          <w:tcPr>
            <w:tcW w:w="4876" w:type="dxa"/>
          </w:tcPr>
          <w:p w14:paraId="3D9842A1" w14:textId="77777777" w:rsidR="004A6753" w:rsidRPr="00EE201B" w:rsidRDefault="004A6753" w:rsidP="0081007B">
            <w:pPr>
              <w:pStyle w:val="Normal6"/>
              <w:rPr>
                <w:lang w:val="en-GB"/>
              </w:rPr>
            </w:pPr>
          </w:p>
        </w:tc>
        <w:tc>
          <w:tcPr>
            <w:tcW w:w="4876" w:type="dxa"/>
          </w:tcPr>
          <w:p w14:paraId="1540E678" w14:textId="77777777" w:rsidR="004A6753" w:rsidRPr="001F36C8" w:rsidRDefault="00EE201B" w:rsidP="0081007B">
            <w:pPr>
              <w:pStyle w:val="Normal6"/>
              <w:jc w:val="center"/>
              <w:rPr>
                <w:szCs w:val="24"/>
                <w:lang w:val="en-GB"/>
              </w:rPr>
            </w:pPr>
            <w:r w:rsidRPr="006D22F9">
              <w:rPr>
                <w:b/>
                <w:i/>
                <w:lang w:val="en-GB"/>
              </w:rPr>
              <w:t>Review of the CAP Strategic Plans</w:t>
            </w:r>
          </w:p>
        </w:tc>
      </w:tr>
      <w:tr w:rsidR="004A6753" w:rsidRPr="001F36C8" w14:paraId="66EDF002" w14:textId="77777777" w:rsidTr="0081007B">
        <w:trPr>
          <w:jc w:val="center"/>
        </w:trPr>
        <w:tc>
          <w:tcPr>
            <w:tcW w:w="4876" w:type="dxa"/>
          </w:tcPr>
          <w:p w14:paraId="37FFE10E" w14:textId="77777777" w:rsidR="004A6753" w:rsidRPr="00EE201B" w:rsidRDefault="004A6753" w:rsidP="0081007B">
            <w:pPr>
              <w:pStyle w:val="Normal6"/>
              <w:rPr>
                <w:lang w:val="en-GB"/>
              </w:rPr>
            </w:pPr>
          </w:p>
        </w:tc>
        <w:tc>
          <w:tcPr>
            <w:tcW w:w="4876" w:type="dxa"/>
          </w:tcPr>
          <w:p w14:paraId="6E69ABBA" w14:textId="77777777" w:rsidR="004A6753" w:rsidRPr="001F36C8" w:rsidRDefault="00EE201B" w:rsidP="0081007B">
            <w:pPr>
              <w:pStyle w:val="Normal6"/>
              <w:rPr>
                <w:szCs w:val="24"/>
                <w:lang w:val="en-GB"/>
              </w:rPr>
            </w:pPr>
            <w:r w:rsidRPr="00DF4B80">
              <w:rPr>
                <w:b/>
                <w:i/>
                <w:color w:val="00B050"/>
                <w:lang w:val="en-GB"/>
              </w:rPr>
              <w:t>By 31 December2025 the Member States shall review their Strategic Plans to ensure that the Strategic Plans are aligned with applicable Union legislation on climate and the environment and submit to the Commission requests to amend their Strategic Plans accordingly</w:t>
            </w:r>
            <w:r w:rsidRPr="006D22F9">
              <w:rPr>
                <w:b/>
                <w:i/>
                <w:lang w:val="en-GB"/>
              </w:rPr>
              <w:t>.</w:t>
            </w:r>
          </w:p>
        </w:tc>
      </w:tr>
    </w:tbl>
    <w:p w14:paraId="511D7D3A" w14:textId="77777777" w:rsidR="004A6753" w:rsidRDefault="004A6753" w:rsidP="004A6753">
      <w:pPr>
        <w:pStyle w:val="Olang0000000000000000"/>
        <w:rPr>
          <w:sz w:val="24"/>
          <w:szCs w:val="24"/>
        </w:rPr>
      </w:pPr>
      <w:r w:rsidRPr="001F36C8">
        <w:rPr>
          <w:sz w:val="24"/>
          <w:szCs w:val="24"/>
        </w:rPr>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735A079D" w14:textId="77777777" w:rsidR="004A6753" w:rsidRPr="001F36C8" w:rsidRDefault="004A6753" w:rsidP="004A6753">
      <w:r w:rsidRPr="001F36C8">
        <w:rPr>
          <w:rStyle w:val="HideTWBExt"/>
        </w:rPr>
        <w:t>&lt;/Amend&gt;</w:t>
      </w:r>
    </w:p>
    <w:p w14:paraId="5FE3014D" w14:textId="77777777"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00480788">
        <w:rPr>
          <w:lang w:val="en-GB"/>
        </w:rPr>
        <w:t>12</w:t>
      </w:r>
      <w:r w:rsidRPr="001F36C8">
        <w:rPr>
          <w:rStyle w:val="HideTWBExt"/>
          <w:b w:val="0"/>
          <w:lang w:val="en-GB"/>
        </w:rPr>
        <w:t>&lt;NumAm&gt;&lt;/NumAm&gt;</w:t>
      </w:r>
    </w:p>
    <w:p w14:paraId="22B5DD23" w14:textId="77777777" w:rsidR="004A6753" w:rsidRPr="00FF0958" w:rsidRDefault="004A6753" w:rsidP="004A6753">
      <w:pPr>
        <w:pStyle w:val="NormalBold"/>
        <w:rPr>
          <w:lang w:val="en-GB"/>
        </w:rPr>
      </w:pPr>
      <w:r w:rsidRPr="006D22F9">
        <w:rPr>
          <w:rStyle w:val="HideTWBExt"/>
          <w:b w:val="0"/>
          <w:lang w:val="en-GB"/>
        </w:rPr>
        <w:t>&lt;RepeatBlock-By&gt;</w:t>
      </w:r>
      <w:r w:rsidRPr="001F36C8">
        <w:rPr>
          <w:rStyle w:val="HideTWBExt"/>
          <w:b w:val="0"/>
          <w:lang w:val="en-GB"/>
        </w:rPr>
        <w:t>&lt;Members&gt;</w:t>
      </w:r>
      <w:r w:rsidR="0059210F" w:rsidRPr="0059210F">
        <w:rPr>
          <w:lang w:val="en-GB"/>
        </w:rPr>
        <w:t xml:space="preserve">Peter </w:t>
      </w:r>
      <w:proofErr w:type="spellStart"/>
      <w:r w:rsidR="0059210F" w:rsidRPr="0059210F">
        <w:rPr>
          <w:lang w:val="en-GB"/>
        </w:rPr>
        <w:t>Jahr</w:t>
      </w:r>
      <w:proofErr w:type="spellEnd"/>
      <w:r w:rsidRPr="001F36C8">
        <w:rPr>
          <w:rStyle w:val="HideTWBExt"/>
          <w:b w:val="0"/>
          <w:lang w:val="en-GB"/>
        </w:rPr>
        <w:t>&lt;/Members&gt;</w:t>
      </w:r>
    </w:p>
    <w:p w14:paraId="35F14C5A" w14:textId="77777777" w:rsidR="004A6753" w:rsidRPr="00ED66A2" w:rsidRDefault="004A6753" w:rsidP="004A6753">
      <w:r w:rsidRPr="007E6396">
        <w:rPr>
          <w:rStyle w:val="HideTWBExt"/>
        </w:rPr>
        <w:t>&lt;/RepeatBlock-By&gt;</w:t>
      </w:r>
    </w:p>
    <w:p w14:paraId="050ADADC" w14:textId="77777777"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14:paraId="0C7AEC50" w14:textId="77777777"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Article 139 a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14:paraId="3D970034" w14:textId="77777777" w:rsidTr="0081007B">
        <w:trPr>
          <w:jc w:val="center"/>
        </w:trPr>
        <w:tc>
          <w:tcPr>
            <w:tcW w:w="9752" w:type="dxa"/>
            <w:gridSpan w:val="2"/>
          </w:tcPr>
          <w:p w14:paraId="62C869FD" w14:textId="77777777" w:rsidR="004A6753" w:rsidRPr="001F36C8" w:rsidRDefault="004A6753" w:rsidP="0081007B">
            <w:pPr>
              <w:keepNext/>
            </w:pPr>
          </w:p>
        </w:tc>
      </w:tr>
      <w:tr w:rsidR="004A6753" w:rsidRPr="001F36C8" w14:paraId="4E83D6D1" w14:textId="77777777" w:rsidTr="0081007B">
        <w:trPr>
          <w:jc w:val="center"/>
        </w:trPr>
        <w:tc>
          <w:tcPr>
            <w:tcW w:w="4876" w:type="dxa"/>
          </w:tcPr>
          <w:p w14:paraId="64EF96F1" w14:textId="77777777" w:rsidR="004A6753" w:rsidRPr="001F36C8" w:rsidRDefault="004A6753" w:rsidP="0081007B">
            <w:pPr>
              <w:pStyle w:val="ColumnHeading"/>
              <w:keepNext/>
              <w:rPr>
                <w:lang w:val="en-GB"/>
              </w:rPr>
            </w:pPr>
            <w:r w:rsidRPr="001F36C8">
              <w:rPr>
                <w:lang w:val="en-GB"/>
              </w:rPr>
              <w:t>Text proposed by the Commission</w:t>
            </w:r>
          </w:p>
        </w:tc>
        <w:tc>
          <w:tcPr>
            <w:tcW w:w="4876" w:type="dxa"/>
          </w:tcPr>
          <w:p w14:paraId="567E8366" w14:textId="77777777" w:rsidR="004A6753" w:rsidRPr="001F36C8" w:rsidRDefault="004A6753" w:rsidP="0081007B">
            <w:pPr>
              <w:pStyle w:val="ColumnHeading"/>
              <w:keepNext/>
              <w:rPr>
                <w:lang w:val="en-GB"/>
              </w:rPr>
            </w:pPr>
            <w:r w:rsidRPr="001F36C8">
              <w:rPr>
                <w:lang w:val="en-GB"/>
              </w:rPr>
              <w:t>Amendment</w:t>
            </w:r>
          </w:p>
        </w:tc>
      </w:tr>
      <w:tr w:rsidR="004A6753" w:rsidRPr="001F36C8" w14:paraId="34CAB357" w14:textId="77777777" w:rsidTr="0081007B">
        <w:trPr>
          <w:jc w:val="center"/>
        </w:trPr>
        <w:tc>
          <w:tcPr>
            <w:tcW w:w="4876" w:type="dxa"/>
          </w:tcPr>
          <w:p w14:paraId="32D4E5F2" w14:textId="77777777" w:rsidR="004A6753" w:rsidRPr="00EE201B" w:rsidRDefault="004A6753" w:rsidP="0081007B">
            <w:pPr>
              <w:pStyle w:val="Normal6"/>
              <w:rPr>
                <w:lang w:val="en-GB"/>
              </w:rPr>
            </w:pPr>
          </w:p>
        </w:tc>
        <w:tc>
          <w:tcPr>
            <w:tcW w:w="4876" w:type="dxa"/>
          </w:tcPr>
          <w:p w14:paraId="2C863C79" w14:textId="77777777" w:rsidR="004A6753" w:rsidRPr="001F36C8" w:rsidRDefault="00EE201B" w:rsidP="0081007B">
            <w:pPr>
              <w:pStyle w:val="Normal6"/>
              <w:jc w:val="center"/>
              <w:rPr>
                <w:szCs w:val="24"/>
                <w:lang w:val="en-GB"/>
              </w:rPr>
            </w:pPr>
            <w:r w:rsidRPr="00EE201B">
              <w:rPr>
                <w:b/>
                <w:i/>
                <w:lang w:val="en-GB"/>
              </w:rPr>
              <w:t>Article 139 a</w:t>
            </w:r>
          </w:p>
        </w:tc>
      </w:tr>
      <w:tr w:rsidR="004A6753" w:rsidRPr="001F36C8" w14:paraId="02FCFB3C" w14:textId="77777777" w:rsidTr="0081007B">
        <w:trPr>
          <w:jc w:val="center"/>
        </w:trPr>
        <w:tc>
          <w:tcPr>
            <w:tcW w:w="4876" w:type="dxa"/>
          </w:tcPr>
          <w:p w14:paraId="5F4EF216" w14:textId="77777777" w:rsidR="004A6753" w:rsidRPr="00EE201B" w:rsidRDefault="004A6753" w:rsidP="0081007B">
            <w:pPr>
              <w:pStyle w:val="Normal6"/>
              <w:rPr>
                <w:lang w:val="en-GB"/>
              </w:rPr>
            </w:pPr>
          </w:p>
        </w:tc>
        <w:tc>
          <w:tcPr>
            <w:tcW w:w="4876" w:type="dxa"/>
          </w:tcPr>
          <w:p w14:paraId="72AA1BE4" w14:textId="77777777" w:rsidR="004A6753" w:rsidRPr="001F36C8" w:rsidRDefault="00EE201B" w:rsidP="0081007B">
            <w:pPr>
              <w:pStyle w:val="Normal6"/>
              <w:jc w:val="center"/>
              <w:rPr>
                <w:szCs w:val="24"/>
                <w:lang w:val="en-GB"/>
              </w:rPr>
            </w:pPr>
            <w:proofErr w:type="spellStart"/>
            <w:r w:rsidRPr="00D27541">
              <w:rPr>
                <w:b/>
                <w:i/>
              </w:rPr>
              <w:t>Mid-term</w:t>
            </w:r>
            <w:proofErr w:type="spellEnd"/>
            <w:r w:rsidRPr="00D27541">
              <w:rPr>
                <w:b/>
                <w:i/>
              </w:rPr>
              <w:t xml:space="preserve"> </w:t>
            </w:r>
            <w:proofErr w:type="spellStart"/>
            <w:r w:rsidRPr="00D27541">
              <w:rPr>
                <w:b/>
                <w:i/>
              </w:rPr>
              <w:t>review</w:t>
            </w:r>
            <w:proofErr w:type="spellEnd"/>
          </w:p>
        </w:tc>
      </w:tr>
      <w:tr w:rsidR="004A6753" w:rsidRPr="001F36C8" w14:paraId="2017E1E6" w14:textId="77777777" w:rsidTr="0081007B">
        <w:trPr>
          <w:jc w:val="center"/>
        </w:trPr>
        <w:tc>
          <w:tcPr>
            <w:tcW w:w="4876" w:type="dxa"/>
          </w:tcPr>
          <w:p w14:paraId="3E3ED496" w14:textId="77777777" w:rsidR="004A6753" w:rsidRPr="00EE201B" w:rsidRDefault="004A6753" w:rsidP="0081007B">
            <w:pPr>
              <w:pStyle w:val="Normal6"/>
              <w:rPr>
                <w:lang w:val="en-GB"/>
              </w:rPr>
            </w:pPr>
          </w:p>
        </w:tc>
        <w:tc>
          <w:tcPr>
            <w:tcW w:w="4876" w:type="dxa"/>
          </w:tcPr>
          <w:p w14:paraId="0B6E4348" w14:textId="77777777" w:rsidR="004A6753" w:rsidRPr="001F36C8" w:rsidRDefault="00EE201B" w:rsidP="0081007B">
            <w:pPr>
              <w:pStyle w:val="Normal6"/>
              <w:rPr>
                <w:szCs w:val="24"/>
                <w:lang w:val="en-GB"/>
              </w:rPr>
            </w:pPr>
            <w:r w:rsidRPr="006D22F9">
              <w:rPr>
                <w:b/>
                <w:i/>
                <w:lang w:val="en-GB"/>
              </w:rPr>
              <w:t xml:space="preserve">1. By 30 June 2025, the Commission shall carry out a mid-term review of the CAP and submit a report to the European Parliament and the Council in order to evaluate the </w:t>
            </w:r>
            <w:r w:rsidRPr="00B550F6">
              <w:rPr>
                <w:b/>
                <w:i/>
                <w:highlight w:val="yellow"/>
                <w:lang w:val="en-GB"/>
              </w:rPr>
              <w:t>operation of the new delivery model</w:t>
            </w:r>
            <w:r w:rsidRPr="006D22F9">
              <w:rPr>
                <w:b/>
                <w:i/>
                <w:lang w:val="en-GB"/>
              </w:rPr>
              <w:t xml:space="preserve"> by the Member States</w:t>
            </w:r>
            <w:r w:rsidRPr="00B550F6">
              <w:rPr>
                <w:b/>
                <w:i/>
                <w:highlight w:val="yellow"/>
                <w:lang w:val="en-GB"/>
              </w:rPr>
              <w:t>, to adjust weightings for climate tracking according to the new methodology referred to in Article 87(3),</w:t>
            </w:r>
            <w:r w:rsidRPr="006D22F9">
              <w:rPr>
                <w:b/>
                <w:i/>
                <w:lang w:val="en-GB"/>
              </w:rPr>
              <w:t xml:space="preserve"> and where appropriate, the Commission shall submit legislative proposals.</w:t>
            </w:r>
          </w:p>
        </w:tc>
      </w:tr>
      <w:tr w:rsidR="004A6753" w:rsidRPr="001F36C8" w14:paraId="360C66A8" w14:textId="77777777" w:rsidTr="0081007B">
        <w:trPr>
          <w:jc w:val="center"/>
        </w:trPr>
        <w:tc>
          <w:tcPr>
            <w:tcW w:w="4876" w:type="dxa"/>
          </w:tcPr>
          <w:p w14:paraId="4F41E5A2" w14:textId="77777777" w:rsidR="004A6753" w:rsidRPr="00EE201B" w:rsidRDefault="004A6753" w:rsidP="0081007B">
            <w:pPr>
              <w:pStyle w:val="Normal6"/>
              <w:rPr>
                <w:lang w:val="en-GB"/>
              </w:rPr>
            </w:pPr>
          </w:p>
        </w:tc>
        <w:tc>
          <w:tcPr>
            <w:tcW w:w="4876" w:type="dxa"/>
          </w:tcPr>
          <w:p w14:paraId="2E1350B8" w14:textId="77777777" w:rsidR="004A6753" w:rsidRPr="001F36C8" w:rsidRDefault="00EE201B" w:rsidP="0081007B">
            <w:pPr>
              <w:pStyle w:val="Normal6"/>
              <w:rPr>
                <w:szCs w:val="24"/>
                <w:lang w:val="en-GB"/>
              </w:rPr>
            </w:pPr>
            <w:r w:rsidRPr="006D22F9">
              <w:rPr>
                <w:b/>
                <w:i/>
                <w:lang w:val="en-GB"/>
              </w:rPr>
              <w:t xml:space="preserve">2. </w:t>
            </w:r>
            <w:r w:rsidRPr="00B402B7">
              <w:rPr>
                <w:b/>
                <w:i/>
                <w:color w:val="00B050"/>
                <w:lang w:val="en-GB"/>
              </w:rPr>
              <w:t xml:space="preserve">In order to ensure that the Strategic Plans </w:t>
            </w:r>
            <w:proofErr w:type="spellStart"/>
            <w:r w:rsidRPr="00B402B7">
              <w:rPr>
                <w:b/>
                <w:i/>
                <w:color w:val="00B050"/>
                <w:lang w:val="en-GB"/>
              </w:rPr>
              <w:t>oft he</w:t>
            </w:r>
            <w:proofErr w:type="spellEnd"/>
            <w:r w:rsidRPr="00B402B7">
              <w:rPr>
                <w:b/>
                <w:i/>
                <w:color w:val="00B050"/>
                <w:lang w:val="en-GB"/>
              </w:rPr>
              <w:t xml:space="preserve"> Member States are aligned with Union legislation on climate and the environment, the mid-term review referred to in paragraph 1 shall take into </w:t>
            </w:r>
            <w:r w:rsidRPr="00B402B7">
              <w:rPr>
                <w:b/>
                <w:i/>
                <w:color w:val="00B050"/>
                <w:lang w:val="en-GB"/>
              </w:rPr>
              <w:lastRenderedPageBreak/>
              <w:t>account the relevant legislation then in force</w:t>
            </w:r>
            <w:r w:rsidRPr="006D22F9">
              <w:rPr>
                <w:b/>
                <w:i/>
                <w:lang w:val="en-GB"/>
              </w:rPr>
              <w:t>.</w:t>
            </w:r>
          </w:p>
        </w:tc>
      </w:tr>
    </w:tbl>
    <w:p w14:paraId="14CAFD45" w14:textId="77777777" w:rsidR="004A6753" w:rsidRDefault="004A6753" w:rsidP="004A6753">
      <w:pPr>
        <w:pStyle w:val="Olang0000000000000000"/>
        <w:rPr>
          <w:sz w:val="24"/>
          <w:szCs w:val="24"/>
        </w:rPr>
      </w:pPr>
      <w:r w:rsidRPr="001F36C8">
        <w:rPr>
          <w:sz w:val="24"/>
          <w:szCs w:val="24"/>
        </w:rPr>
        <w:lastRenderedPageBreak/>
        <w:t xml:space="preserve">Or. </w:t>
      </w:r>
      <w:r w:rsidRPr="001F36C8">
        <w:rPr>
          <w:rStyle w:val="HideTWBExt"/>
          <w:noProof w:val="0"/>
        </w:rPr>
        <w:t>&lt;Original&gt;</w:t>
      </w:r>
      <w:r w:rsidR="00EE201B" w:rsidRPr="00EE201B">
        <w:rPr>
          <w:rStyle w:val="HideTWBInt"/>
          <w:sz w:val="24"/>
          <w:szCs w:val="24"/>
        </w:rPr>
        <w:t>{EN}</w:t>
      </w:r>
      <w:proofErr w:type="spellStart"/>
      <w:r w:rsidR="00EE201B" w:rsidRPr="00EE201B">
        <w:rPr>
          <w:sz w:val="24"/>
          <w:szCs w:val="24"/>
        </w:rPr>
        <w:t>en</w:t>
      </w:r>
      <w:proofErr w:type="spellEnd"/>
      <w:r w:rsidRPr="001F36C8">
        <w:rPr>
          <w:rStyle w:val="HideTWBExt"/>
          <w:noProof w:val="0"/>
        </w:rPr>
        <w:t>&lt;/Original&gt;</w:t>
      </w:r>
    </w:p>
    <w:p w14:paraId="4A63096C" w14:textId="77777777" w:rsidR="004A6753" w:rsidRPr="001F36C8" w:rsidRDefault="004A6753" w:rsidP="004A6753">
      <w:r w:rsidRPr="001F36C8">
        <w:rPr>
          <w:rStyle w:val="HideTWBExt"/>
        </w:rPr>
        <w:t>&lt;/Amend&gt;</w:t>
      </w:r>
      <w:r w:rsidRPr="004A6753">
        <w:rPr>
          <w:rStyle w:val="HideTWBExt"/>
          <w:szCs w:val="20"/>
        </w:rPr>
        <w:t>&lt;/RepeatBlock-Amend&gt;</w:t>
      </w:r>
    </w:p>
    <w:p w14:paraId="546D4767" w14:textId="77777777" w:rsidR="003F27BB" w:rsidRDefault="003F27BB" w:rsidP="004A6753"/>
    <w:sectPr w:rsidR="003F27BB" w:rsidSect="0081007B">
      <w:type w:val="continuous"/>
      <w:pgSz w:w="11906" w:h="16838" w:code="9"/>
      <w:pgMar w:top="1134" w:right="1134" w:bottom="1134" w:left="1418" w:header="1134"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co" w:date="2020-10-13T09:52:00Z" w:initials="M">
    <w:p w14:paraId="3B3A77F1" w14:textId="3E2A47FE" w:rsidR="00027D7C" w:rsidRDefault="00027D7C">
      <w:pPr>
        <w:pStyle w:val="CommentText"/>
      </w:pPr>
      <w:r>
        <w:rPr>
          <w:rStyle w:val="CommentReference"/>
        </w:rPr>
        <w:annotationRef/>
      </w:r>
      <w:r>
        <w:t xml:space="preserve">On top of being a recital, with a much lower relevance than an article, the wording ‘should aim’ is nothing more than a </w:t>
      </w:r>
      <w:proofErr w:type="spellStart"/>
      <w:r>
        <w:t>whish</w:t>
      </w:r>
      <w:proofErr w:type="spellEnd"/>
      <w:r>
        <w:t>.</w:t>
      </w:r>
    </w:p>
  </w:comment>
  <w:comment w:id="1" w:author="Célia Nyssens" w:date="2020-10-13T09:09:00Z" w:initials="CN">
    <w:p w14:paraId="4DCCE218" w14:textId="009850F9" w:rsidR="0090218D" w:rsidRPr="0090218D" w:rsidRDefault="0090218D">
      <w:pPr>
        <w:pStyle w:val="CommentText"/>
      </w:pPr>
      <w:r>
        <w:rPr>
          <w:rStyle w:val="CommentReference"/>
        </w:rPr>
        <w:annotationRef/>
      </w:r>
      <w:r>
        <w:t xml:space="preserve">Member States are very unlikely to do so anyway, but this restriction is really </w:t>
      </w:r>
      <w:r w:rsidR="00B038B1">
        <w:t>counterproductive.</w:t>
      </w:r>
    </w:p>
  </w:comment>
  <w:comment w:id="2" w:author="Trees Robijns" w:date="2020-10-12T23:13:00Z" w:initials="TR">
    <w:p w14:paraId="19AC9DCC" w14:textId="395A7FE5" w:rsidR="55294846" w:rsidRPr="00115380" w:rsidRDefault="00115380">
      <w:pPr>
        <w:pStyle w:val="CommentText"/>
      </w:pPr>
      <w:r>
        <w:t>These exemptions are not justified</w:t>
      </w:r>
    </w:p>
  </w:comment>
  <w:comment w:id="3" w:author="Célia Nyssens" w:date="2020-10-13T09:12:00Z" w:initials="CN">
    <w:p w14:paraId="0953F153" w14:textId="62822275" w:rsidR="00871EAC" w:rsidRDefault="00871EAC">
      <w:pPr>
        <w:pStyle w:val="CommentText"/>
      </w:pPr>
      <w:r>
        <w:rPr>
          <w:rStyle w:val="CommentReference"/>
        </w:rPr>
        <w:annotationRef/>
      </w:r>
      <w:r>
        <w:t xml:space="preserve">This is very risky and could get worsened by Council in </w:t>
      </w:r>
      <w:proofErr w:type="spellStart"/>
      <w:r>
        <w:t>trilogues</w:t>
      </w:r>
      <w:proofErr w:type="spellEnd"/>
      <w:r>
        <w:t>, but with current wording not too bad...</w:t>
      </w:r>
    </w:p>
  </w:comment>
  <w:comment w:id="4" w:author="Trees Robijns" w:date="2020-10-12T23:17:00Z" w:initials="TR">
    <w:p w14:paraId="3F8C5FD3" w14:textId="40C078F9" w:rsidR="55294846" w:rsidRDefault="55294846">
      <w:pPr>
        <w:pStyle w:val="CommentText"/>
      </w:pPr>
      <w:r>
        <w:t>mandatory advice on environment: GOOD</w:t>
      </w:r>
      <w:r>
        <w:rPr>
          <w:rStyle w:val="CommentReference"/>
        </w:rPr>
        <w:annotationRef/>
      </w:r>
    </w:p>
  </w:comment>
  <w:comment w:id="5" w:author="Trees Robijns" w:date="2020-10-12T23:20:00Z" w:initials="TR">
    <w:p w14:paraId="7FFCEF5A" w14:textId="69AB8832" w:rsidR="55294846" w:rsidRDefault="55294846">
      <w:pPr>
        <w:pStyle w:val="CommentText"/>
      </w:pPr>
      <w:r>
        <w:t>enlarging scope so also budget?</w:t>
      </w:r>
      <w:r>
        <w:rPr>
          <w:rStyle w:val="CommentReference"/>
        </w:rPr>
        <w:annotationRef/>
      </w:r>
    </w:p>
  </w:comment>
  <w:comment w:id="6" w:author="Célia Nyssens [2]" w:date="2020-10-13T08:54:00Z" w:initials="CN">
    <w:p w14:paraId="7562B850" w14:textId="42B8C7E5" w:rsidR="13CC6356" w:rsidRDefault="13CC6356">
      <w:pPr>
        <w:pStyle w:val="CommentText"/>
      </w:pPr>
      <w:r>
        <w:t>This is window dressing, whether to use a point system or not should be a decision for Member States</w:t>
      </w:r>
      <w:r>
        <w:rPr>
          <w:rStyle w:val="CommentReference"/>
        </w:rPr>
        <w:annotationRef/>
      </w:r>
    </w:p>
  </w:comment>
  <w:comment w:id="10" w:author="Marco" w:date="2020-10-13T09:54:00Z" w:initials="M">
    <w:p w14:paraId="3FFAB9D6" w14:textId="77777777" w:rsidR="00027D7C" w:rsidRDefault="00027D7C" w:rsidP="00027D7C">
      <w:pPr>
        <w:pStyle w:val="CommentText"/>
      </w:pPr>
      <w:r>
        <w:rPr>
          <w:rStyle w:val="CommentReference"/>
        </w:rPr>
        <w:annotationRef/>
      </w:r>
      <w:r>
        <w:rPr>
          <w:rFonts w:ascii="Roboto" w:hAnsi="Roboto"/>
          <w:color w:val="3C4043"/>
          <w:spacing w:val="3"/>
          <w:sz w:val="21"/>
          <w:szCs w:val="21"/>
          <w:shd w:val="clear" w:color="auto" w:fill="FFFFFF"/>
        </w:rPr>
        <w:t>Including as a criterion for eco-schemes the 'enhancement of economic performances' is simply irrational. Public money, and the very reason to be for a policy like the CAP, is to support farming and drive it where it is best for society. If a small percentage of the entire CAP budget is paid to encourage more climate and environmentally friendly objectives, those of Art. 6 (d), (e), and (f), then it should not be undermined by criteria linked to the other objectives, which already have the remaining 70-80% of DP dedicated to them… Eco-schemes are ecological schemes, not economic schemes, and environmental objectives deserve a part of the budget dedicated to them, particularly if it will remain a small part of it.</w:t>
      </w:r>
    </w:p>
    <w:p w14:paraId="6DD0A888" w14:textId="10B81293" w:rsidR="00027D7C" w:rsidRDefault="00027D7C">
      <w:pPr>
        <w:pStyle w:val="CommentText"/>
      </w:pPr>
    </w:p>
  </w:comment>
  <w:comment w:id="7" w:author="Célia Nyssens" w:date="2020-10-12T21:09:00Z" w:initials="CN">
    <w:p w14:paraId="1187B2A5" w14:textId="7D9430B9" w:rsidR="006D01ED" w:rsidRPr="006D01ED" w:rsidRDefault="006D01ED">
      <w:pPr>
        <w:pStyle w:val="CommentText"/>
      </w:pPr>
      <w:r>
        <w:rPr>
          <w:rStyle w:val="CommentReference"/>
        </w:rPr>
        <w:annotationRef/>
      </w:r>
      <w:r>
        <w:t xml:space="preserve">This </w:t>
      </w:r>
      <w:r w:rsidR="00040883">
        <w:t>has nothing to do in eco-schemes</w:t>
      </w:r>
      <w:r w:rsidR="00C803CD">
        <w:t>, RED LINE.</w:t>
      </w:r>
    </w:p>
  </w:comment>
  <w:comment w:id="8" w:author="Harriet Bradley" w:date="2020-10-12T21:49:00Z" w:initials="HB">
    <w:p w14:paraId="712E3F81" w14:textId="1344344E" w:rsidR="556ACD09" w:rsidRDefault="556ACD09">
      <w:pPr>
        <w:pStyle w:val="CommentText"/>
      </w:pPr>
      <w:r>
        <w:t>YES</w:t>
      </w:r>
      <w:r>
        <w:rPr>
          <w:rStyle w:val="CommentReference"/>
        </w:rPr>
        <w:annotationRef/>
      </w:r>
    </w:p>
  </w:comment>
  <w:comment w:id="9" w:author="Trees Robijns" w:date="2020-10-12T23:24:00Z" w:initials="TR">
    <w:p w14:paraId="6ACAA68E" w14:textId="5ADAE56C" w:rsidR="55294846" w:rsidRDefault="55294846">
      <w:pPr>
        <w:pStyle w:val="CommentText"/>
      </w:pPr>
      <w:r>
        <w:t>YES</w:t>
      </w:r>
      <w:r>
        <w:rPr>
          <w:rStyle w:val="CommentReference"/>
        </w:rPr>
        <w:annotationRef/>
      </w:r>
    </w:p>
  </w:comment>
  <w:comment w:id="11" w:author="Trees Robijns" w:date="2020-10-12T23:29:00Z" w:initials="TR">
    <w:p w14:paraId="076DA7C4" w14:textId="14514F3B" w:rsidR="55294846" w:rsidRDefault="00667F13">
      <w:pPr>
        <w:pStyle w:val="CommentText"/>
      </w:pPr>
      <w:r>
        <w:t>W</w:t>
      </w:r>
      <w:r w:rsidR="55294846">
        <w:t>hat</w:t>
      </w:r>
      <w:r>
        <w:t xml:space="preserve"> </w:t>
      </w:r>
      <w:r w:rsidR="55294846">
        <w:t xml:space="preserve">does this </w:t>
      </w:r>
      <w:r>
        <w:t>list add</w:t>
      </w:r>
      <w:r w:rsidR="55294846">
        <w:t>? we have th</w:t>
      </w:r>
      <w:r>
        <w:t>e specific</w:t>
      </w:r>
      <w:r w:rsidR="55294846">
        <w:t xml:space="preserve"> objectives</w:t>
      </w:r>
      <w:r>
        <w:t xml:space="preserve"> already</w:t>
      </w:r>
      <w:r w:rsidR="55294846">
        <w:t>, isn't that enough?</w:t>
      </w:r>
      <w:r w:rsidR="55294846">
        <w:rPr>
          <w:rStyle w:val="CommentReference"/>
        </w:rPr>
        <w:annotationRef/>
      </w:r>
    </w:p>
  </w:comment>
  <w:comment w:id="12" w:author="Célia Nyssens [2]" w:date="2020-10-13T08:56:00Z" w:initials="CN">
    <w:p w14:paraId="6D1C3282" w14:textId="72670104" w:rsidR="13CC6356" w:rsidRDefault="13CC6356">
      <w:pPr>
        <w:pStyle w:val="CommentText"/>
      </w:pPr>
      <w:r>
        <w:t>We shouldn't pay for "maintaining" or "protecting" (in c) what could be a very low baseline!</w:t>
      </w:r>
      <w:r>
        <w:rPr>
          <w:rStyle w:val="CommentReference"/>
        </w:rPr>
        <w:annotationRef/>
      </w:r>
    </w:p>
  </w:comment>
  <w:comment w:id="13" w:author="Célia Nyssens" w:date="2020-10-12T21:12:00Z" w:initials="CN">
    <w:p w14:paraId="0448F5A0" w14:textId="35DC2C41" w:rsidR="00085D03" w:rsidRPr="00085D03" w:rsidRDefault="00085D03">
      <w:pPr>
        <w:pStyle w:val="CommentText"/>
      </w:pPr>
      <w:r>
        <w:rPr>
          <w:rStyle w:val="CommentReference"/>
        </w:rPr>
        <w:annotationRef/>
      </w:r>
      <w:r>
        <w:t>There needs to be a comma!</w:t>
      </w:r>
    </w:p>
  </w:comment>
  <w:comment w:id="14" w:author="Harriet Bradley" w:date="2020-10-12T21:50:00Z" w:initials="HB">
    <w:p w14:paraId="0F1E5B00" w14:textId="71DF88BF" w:rsidR="6F9C2068" w:rsidRDefault="6F9C2068">
      <w:pPr>
        <w:pStyle w:val="CommentText"/>
      </w:pPr>
      <w:r>
        <w:t>it is clear they mean that you can simply pay for areas where no pesticides and fertilisers are used</w:t>
      </w:r>
      <w:r>
        <w:rPr>
          <w:rStyle w:val="CommentReference"/>
        </w:rPr>
        <w:annotationRef/>
      </w:r>
    </w:p>
  </w:comment>
  <w:comment w:id="15" w:author="Harriet Bradley" w:date="2020-10-12T21:51:00Z" w:initials="HB">
    <w:p w14:paraId="604B4A75" w14:textId="7AC30F23" w:rsidR="34A5AC29" w:rsidRDefault="34A5AC29">
      <w:pPr>
        <w:pStyle w:val="CommentText"/>
      </w:pPr>
      <w:r>
        <w:t>There is no baseline or level of reduction set. We already have problems with fake IPM schemes that set a small reduction target against a non-existent baseline. very hard to police</w:t>
      </w:r>
      <w:r>
        <w:rPr>
          <w:rStyle w:val="CommentReference"/>
        </w:rPr>
        <w:annotationRef/>
      </w:r>
    </w:p>
  </w:comment>
  <w:comment w:id="16" w:author="Marco" w:date="2020-10-13T09:54:00Z" w:initials="M">
    <w:p w14:paraId="112FC950" w14:textId="596594D7" w:rsidR="00027D7C" w:rsidRDefault="00027D7C">
      <w:pPr>
        <w:pStyle w:val="CommentText"/>
      </w:pPr>
      <w:r>
        <w:rPr>
          <w:rStyle w:val="CommentReference"/>
        </w:rPr>
        <w:annotationRef/>
      </w:r>
      <w:r>
        <w:t>This sentence can justify eco-schemes for GMOs and new GMOs.</w:t>
      </w:r>
    </w:p>
  </w:comment>
  <w:comment w:id="17" w:author="Célia Nyssens" w:date="2020-10-12T21:25:00Z" w:initials="CN">
    <w:p w14:paraId="72583CA0" w14:textId="3AC069EC" w:rsidR="000865AA" w:rsidRPr="000865AA" w:rsidRDefault="000865AA">
      <w:pPr>
        <w:pStyle w:val="CommentText"/>
      </w:pPr>
      <w:r>
        <w:rPr>
          <w:rStyle w:val="CommentReference"/>
        </w:rPr>
        <w:annotationRef/>
      </w:r>
      <w:r>
        <w:t xml:space="preserve">Deletion of </w:t>
      </w:r>
      <w:r w:rsidR="009A5B02">
        <w:t xml:space="preserve">“national law” means eco-schemes could pay for implementing national </w:t>
      </w:r>
      <w:r w:rsidR="001F4FF7">
        <w:t>legal standards! RED LINE</w:t>
      </w:r>
    </w:p>
  </w:comment>
  <w:comment w:id="18" w:author="Trees Robijns" w:date="2020-10-12T23:28:00Z" w:initials="TR">
    <w:p w14:paraId="7C96B7FE" w14:textId="2F96EC2C" w:rsidR="55294846" w:rsidRDefault="55294846">
      <w:pPr>
        <w:pStyle w:val="CommentText"/>
      </w:pPr>
      <w:r>
        <w:t>indeed: BAD!</w:t>
      </w:r>
      <w:r>
        <w:rPr>
          <w:rStyle w:val="CommentReference"/>
        </w:rPr>
        <w:annotationRef/>
      </w:r>
    </w:p>
  </w:comment>
  <w:comment w:id="19" w:author="Célia Nyssens" w:date="2020-10-12T21:14:00Z" w:initials="CN">
    <w:p w14:paraId="24F43261" w14:textId="5B182618" w:rsidR="00145ACD" w:rsidRPr="00145ACD" w:rsidRDefault="00145ACD">
      <w:pPr>
        <w:pStyle w:val="CommentText"/>
      </w:pPr>
      <w:r>
        <w:rPr>
          <w:rStyle w:val="CommentReference"/>
        </w:rPr>
        <w:annotationRef/>
      </w:r>
      <w:r>
        <w:t>Conditionality brought into eco-schemes RED LINE</w:t>
      </w:r>
    </w:p>
  </w:comment>
  <w:comment w:id="20" w:author="Célia Nyssens" w:date="2020-10-12T21:15:00Z" w:initials="CN">
    <w:p w14:paraId="28AA674A" w14:textId="769D97F7" w:rsidR="00F72999" w:rsidRPr="00F72999" w:rsidRDefault="00F72999">
      <w:pPr>
        <w:pStyle w:val="CommentText"/>
      </w:pPr>
      <w:r>
        <w:rPr>
          <w:rStyle w:val="CommentReference"/>
        </w:rPr>
        <w:annotationRef/>
      </w:r>
      <w:r>
        <w:t>“automatic eligibility” is greening 2.0, RED LINE</w:t>
      </w:r>
    </w:p>
  </w:comment>
  <w:comment w:id="21" w:author="Trees Robijns" w:date="2020-10-12T23:31:00Z" w:initials="TR">
    <w:p w14:paraId="668EEF2E" w14:textId="60EA0F43" w:rsidR="55294846" w:rsidRDefault="55294846">
      <w:pPr>
        <w:pStyle w:val="CommentText"/>
      </w:pPr>
      <w:proofErr w:type="gramStart"/>
      <w:r>
        <w:t>yes</w:t>
      </w:r>
      <w:proofErr w:type="gramEnd"/>
      <w:r>
        <w:t xml:space="preserve"> and the issue is: will they be able to get payments for the baseline? should not be allowed!</w:t>
      </w:r>
      <w:r>
        <w:rPr>
          <w:rStyle w:val="CommentReference"/>
        </w:rPr>
        <w:annotationRef/>
      </w:r>
    </w:p>
  </w:comment>
  <w:comment w:id="23" w:author="Célia Nyssens" w:date="2020-10-12T21:21:00Z" w:initials="CN">
    <w:p w14:paraId="2CF532CA" w14:textId="3CB5F911" w:rsidR="001705F5" w:rsidRPr="001705F5" w:rsidRDefault="001705F5">
      <w:pPr>
        <w:pStyle w:val="CommentText"/>
      </w:pPr>
      <w:r>
        <w:rPr>
          <w:rStyle w:val="CommentReference"/>
        </w:rPr>
        <w:annotationRef/>
      </w:r>
      <w:r>
        <w:t xml:space="preserve">This opens the door to </w:t>
      </w:r>
      <w:r w:rsidR="00D4570B">
        <w:t>everything and anything RED LINE</w:t>
      </w:r>
    </w:p>
  </w:comment>
  <w:comment w:id="24" w:author="Harriet Bradley" w:date="2020-10-12T21:53:00Z" w:initials="HB">
    <w:p w14:paraId="3C7959DB" w14:textId="294CF90E" w:rsidR="100D6B89" w:rsidRDefault="100D6B89">
      <w:pPr>
        <w:pStyle w:val="CommentText"/>
      </w:pPr>
      <w:r>
        <w:t xml:space="preserve">very dangerous - using </w:t>
      </w:r>
      <w:proofErr w:type="spellStart"/>
      <w:r>
        <w:t>agri</w:t>
      </w:r>
      <w:proofErr w:type="spellEnd"/>
      <w:r>
        <w:t xml:space="preserve"> environment e.g. to irrigate when there is a drought? Agri environment needs to be used to build resilience and prevention of climate/natural risks, not </w:t>
      </w:r>
      <w:proofErr w:type="gramStart"/>
      <w:r>
        <w:t>insure</w:t>
      </w:r>
      <w:proofErr w:type="gramEnd"/>
      <w:r>
        <w:t xml:space="preserve"> farmers who do not take preventive action</w:t>
      </w:r>
      <w:r>
        <w:rPr>
          <w:rStyle w:val="CommentReference"/>
        </w:rPr>
        <w:annotationRef/>
      </w:r>
    </w:p>
  </w:comment>
  <w:comment w:id="22" w:author="Marco" w:date="2020-10-13T09:55:00Z" w:initials="M">
    <w:p w14:paraId="29306BF7" w14:textId="77777777" w:rsidR="00027D7C" w:rsidRDefault="00027D7C" w:rsidP="00027D7C">
      <w:pPr>
        <w:pStyle w:val="CommentText"/>
      </w:pPr>
      <w:r>
        <w:rPr>
          <w:rStyle w:val="CommentReference"/>
        </w:rPr>
        <w:annotationRef/>
      </w:r>
      <w:r>
        <w:rPr>
          <w:rStyle w:val="CommentReference"/>
        </w:rPr>
        <w:annotationRef/>
      </w:r>
      <w:r>
        <w:t xml:space="preserve">This addition is blurry and confusing, and, most importantly, opens the possibility of counting many practices that do not provide any climate or environmental benefit. Building walls to prevent attacks by wild animals should not be paid with CAP money going to </w:t>
      </w:r>
      <w:proofErr w:type="spellStart"/>
      <w:r>
        <w:t>envi</w:t>
      </w:r>
      <w:proofErr w:type="spellEnd"/>
      <w:r>
        <w:t xml:space="preserve"> and climate spending, nor building a dam to gather water against a possible drought, or consolidating a slope that has in precedence been deforested and now presents risks of crumbling, etc…</w:t>
      </w:r>
    </w:p>
    <w:p w14:paraId="41AAB155" w14:textId="77777777" w:rsidR="00027D7C" w:rsidRDefault="00027D7C" w:rsidP="00027D7C">
      <w:pPr>
        <w:pStyle w:val="CommentText"/>
      </w:pPr>
    </w:p>
    <w:p w14:paraId="1B5D692F" w14:textId="4C61D21C" w:rsidR="00027D7C" w:rsidRDefault="00027D7C">
      <w:pPr>
        <w:pStyle w:val="CommentText"/>
      </w:pPr>
    </w:p>
  </w:comment>
  <w:comment w:id="25" w:author="Trees Robijns" w:date="2020-10-12T23:35:00Z" w:initials="TR">
    <w:p w14:paraId="387BA206" w14:textId="28EBB587" w:rsidR="55294846" w:rsidRDefault="55294846">
      <w:pPr>
        <w:pStyle w:val="CommentText"/>
      </w:pPr>
      <w:r>
        <w:t>that word bothers me as well: i</w:t>
      </w:r>
      <w:r w:rsidR="00C05FEF">
        <w:t>t</w:t>
      </w:r>
      <w:r>
        <w:t xml:space="preserve"> is specifically productive use of forests: not good</w:t>
      </w:r>
      <w:r>
        <w:rPr>
          <w:rStyle w:val="CommentReference"/>
        </w:rPr>
        <w:annotationRef/>
      </w:r>
    </w:p>
  </w:comment>
  <w:comment w:id="26" w:author="Marco" w:date="2020-10-13T09:55:00Z" w:initials="M">
    <w:p w14:paraId="5773FC09" w14:textId="5C388C34" w:rsidR="00027D7C" w:rsidRDefault="00027D7C">
      <w:pPr>
        <w:pStyle w:val="CommentText"/>
      </w:pPr>
      <w:r w:rsidRPr="00027D7C">
        <w:rPr>
          <w:rStyle w:val="CommentReference"/>
        </w:rPr>
        <w:annotationRef/>
      </w:r>
      <w:r w:rsidRPr="00027D7C">
        <w:t>GMOs and new GMOs cannot be paid with Article 66 money. Such an article is dedicated to measures providing environmental and climate benefits.</w:t>
      </w:r>
    </w:p>
  </w:comment>
  <w:comment w:id="27" w:author="Marco" w:date="2020-10-13T09:56:00Z" w:initials="M">
    <w:p w14:paraId="27A42134" w14:textId="77777777" w:rsidR="00027D7C" w:rsidRDefault="00027D7C" w:rsidP="00027D7C">
      <w:pPr>
        <w:pStyle w:val="CommentText"/>
      </w:pPr>
      <w:r>
        <w:rPr>
          <w:rStyle w:val="CommentReference"/>
        </w:rPr>
        <w:annotationRef/>
      </w:r>
      <w:r>
        <w:t>This article is related to climate and environmental objectives, animal health is not part of them. Should Rural Development money to climate and the environment pay for actions delivering more drugs to animals? It is understandable this would please Animal Health Europe yes, but should not be paid with public money as society as a whole does not have as an objective that of paying public money to increase the revenues of the pharmaceutical industry.</w:t>
      </w:r>
    </w:p>
    <w:p w14:paraId="5C550E9F" w14:textId="5E9A839B" w:rsidR="00027D7C" w:rsidRDefault="00027D7C">
      <w:pPr>
        <w:pStyle w:val="CommentText"/>
      </w:pPr>
    </w:p>
  </w:comment>
  <w:comment w:id="28" w:author="Trees Robijns" w:date="2020-10-12T23:37:00Z" w:initials="TR">
    <w:p w14:paraId="5807235C" w14:textId="5853651D" w:rsidR="55294846" w:rsidRDefault="55294846">
      <w:pPr>
        <w:pStyle w:val="CommentText"/>
      </w:pPr>
      <w:r>
        <w:t>good!</w:t>
      </w:r>
      <w:r>
        <w:rPr>
          <w:rStyle w:val="CommentReference"/>
        </w:rPr>
        <w:annotationRef/>
      </w:r>
    </w:p>
  </w:comment>
  <w:comment w:id="29" w:author="Célia Nyssens" w:date="2020-10-12T21:21:00Z" w:initials="CN">
    <w:p w14:paraId="66870D7D" w14:textId="09CE59D4" w:rsidR="001877EF" w:rsidRPr="001877EF" w:rsidRDefault="001877EF">
      <w:pPr>
        <w:pStyle w:val="CommentText"/>
      </w:pPr>
      <w:r>
        <w:rPr>
          <w:rStyle w:val="CommentReference"/>
        </w:rPr>
        <w:annotationRef/>
      </w:r>
      <w:r>
        <w:t xml:space="preserve">This was an invention of COMAGRI but there is no need for such limits and it could prevent </w:t>
      </w:r>
      <w:r w:rsidR="008A749B">
        <w:t xml:space="preserve">“dark green” measures being </w:t>
      </w:r>
      <w:r w:rsidR="00FA1D53">
        <w:t>made attractive</w:t>
      </w:r>
      <w:r w:rsidR="00001C28">
        <w:t xml:space="preserve"> enough.</w:t>
      </w:r>
    </w:p>
  </w:comment>
  <w:comment w:id="30" w:author="Trees Robijns" w:date="2020-10-12T23:38:00Z" w:initials="TR">
    <w:p w14:paraId="537ABB39" w14:textId="60CC7712" w:rsidR="55294846" w:rsidRDefault="55294846">
      <w:pPr>
        <w:pStyle w:val="CommentText"/>
      </w:pPr>
      <w:r>
        <w:t xml:space="preserve">BAD: could kick out </w:t>
      </w:r>
      <w:proofErr w:type="spellStart"/>
      <w:r>
        <w:t>envi</w:t>
      </w:r>
      <w:proofErr w:type="spellEnd"/>
      <w:r>
        <w:t xml:space="preserve"> NGOs</w:t>
      </w:r>
      <w:r w:rsidR="00D504FB">
        <w:t xml:space="preserve"> or other collectives</w:t>
      </w:r>
      <w:r>
        <w:t xml:space="preserve"> that are applying for funding for </w:t>
      </w:r>
      <w:proofErr w:type="spellStart"/>
      <w:r>
        <w:t>managment</w:t>
      </w:r>
      <w:proofErr w:type="spellEnd"/>
      <w:r>
        <w:t>, the neutral word beneficiary was better</w:t>
      </w:r>
      <w:r>
        <w:rPr>
          <w:rStyle w:val="CommentReference"/>
        </w:rPr>
        <w:annotationRef/>
      </w:r>
    </w:p>
  </w:comment>
  <w:comment w:id="31" w:author="Harriet Bradley" w:date="2020-10-12T21:56:00Z" w:initials="HB">
    <w:p w14:paraId="269DFF6C" w14:textId="7AC0530E" w:rsidR="1D902D28" w:rsidRDefault="1D902D28">
      <w:pPr>
        <w:pStyle w:val="CommentText"/>
      </w:pPr>
      <w:r>
        <w:t>this would be good, were it not for the 'where appropriate'</w:t>
      </w:r>
      <w:r>
        <w:rPr>
          <w:rStyle w:val="CommentReference"/>
        </w:rPr>
        <w:annotationRef/>
      </w:r>
    </w:p>
  </w:comment>
  <w:comment w:id="32" w:author="Célia Nyssens" w:date="2020-10-12T21:24:00Z" w:initials="CN">
    <w:p w14:paraId="0F557E0A" w14:textId="284BAF62" w:rsidR="00B749DE" w:rsidRPr="00B749DE" w:rsidRDefault="00B749DE">
      <w:pPr>
        <w:pStyle w:val="CommentText"/>
      </w:pPr>
      <w:r>
        <w:rPr>
          <w:rStyle w:val="CommentReference"/>
        </w:rPr>
        <w:annotationRef/>
      </w:r>
      <w:r>
        <w:t xml:space="preserve">Deletion of “national law” means that these measures could pay for </w:t>
      </w:r>
      <w:r w:rsidR="00E6361F">
        <w:t>implementing national</w:t>
      </w:r>
      <w:r w:rsidR="008B4D9E">
        <w:t xml:space="preserve"> legal </w:t>
      </w:r>
      <w:r w:rsidR="008927D3">
        <w:t>standards. RED LINE</w:t>
      </w:r>
    </w:p>
  </w:comment>
  <w:comment w:id="33" w:author="Célia Nyssens [2]" w:date="2020-10-13T09:04:00Z" w:initials="CN">
    <w:p w14:paraId="571A7F3F" w14:textId="4721A246" w:rsidR="13CC6356" w:rsidRDefault="13CC6356">
      <w:pPr>
        <w:pStyle w:val="CommentText"/>
      </w:pPr>
      <w:r>
        <w:t>Replaces previous wording: Payments “per animal, beehive, or other identified unit”, but still not good</w:t>
      </w:r>
      <w:r>
        <w:rPr>
          <w:rStyle w:val="CommentReference"/>
        </w:rPr>
        <w:annotationRef/>
      </w:r>
    </w:p>
  </w:comment>
  <w:comment w:id="34" w:author="Harriet Bradley" w:date="2020-10-12T21:59:00Z" w:initials="HB">
    <w:p w14:paraId="5A6DAE23" w14:textId="052881D9" w:rsidR="289CFEDD" w:rsidRDefault="289CFEDD">
      <w:pPr>
        <w:pStyle w:val="CommentText"/>
      </w:pPr>
      <w:r>
        <w:t xml:space="preserve">This is EU </w:t>
      </w:r>
      <w:proofErr w:type="gramStart"/>
      <w:r>
        <w:t>law,</w:t>
      </w:r>
      <w:proofErr w:type="gramEnd"/>
      <w:r>
        <w:t xml:space="preserve"> we shouldn't be paying for it</w:t>
      </w:r>
      <w:r>
        <w:rPr>
          <w:rStyle w:val="CommentReference"/>
        </w:rPr>
        <w:annotationRef/>
      </w:r>
    </w:p>
  </w:comment>
  <w:comment w:id="35" w:author="Harriet Bradley" w:date="2020-10-12T22:00:00Z" w:initials="HB">
    <w:p w14:paraId="164BCE88" w14:textId="158A8DCA" w:rsidR="117DA860" w:rsidRDefault="117DA860">
      <w:pPr>
        <w:pStyle w:val="CommentText"/>
      </w:pPr>
      <w:r>
        <w:t>as above- dangerous loophole for hidden coupled support</w:t>
      </w:r>
      <w:r>
        <w:rPr>
          <w:rStyle w:val="CommentReference"/>
        </w:rPr>
        <w:annotationRef/>
      </w:r>
    </w:p>
  </w:comment>
  <w:comment w:id="36" w:author="Célia Nyssens" w:date="2020-10-12T22:02:00Z" w:initials="CN">
    <w:p w14:paraId="116C7E9B" w14:textId="16B26306" w:rsidR="002035A2" w:rsidRPr="00190FE2" w:rsidRDefault="002035A2">
      <w:pPr>
        <w:pStyle w:val="CommentText"/>
      </w:pPr>
      <w:r>
        <w:rPr>
          <w:rStyle w:val="CommentReference"/>
        </w:rPr>
        <w:annotationRef/>
      </w:r>
      <w:r w:rsidR="00190FE2">
        <w:t xml:space="preserve">Given the new </w:t>
      </w:r>
      <w:r w:rsidR="00B51B63">
        <w:t xml:space="preserve">partial inclusion of ANCs </w:t>
      </w:r>
      <w:r w:rsidR="0081007B">
        <w:t xml:space="preserve">in the ringfencing, this is LESS ambitious than the COM proposal! </w:t>
      </w:r>
    </w:p>
  </w:comment>
  <w:comment w:id="37" w:author="Harriet Bradley" w:date="2020-10-12T21:33:00Z" w:initials="HB">
    <w:p w14:paraId="692F83F1" w14:textId="3AD115C0" w:rsidR="7EFB485C" w:rsidRDefault="7EFB485C">
      <w:pPr>
        <w:pStyle w:val="CommentText"/>
      </w:pPr>
      <w:r>
        <w:t>This creates quite a big potential loophole, because it includes animal welfare payments in with environmental spending. any animal welfare subsidies should be budgeted separately so their impacts can be analysed (as already in some MS they are used for hidden coupled support to factory farms).</w:t>
      </w:r>
      <w:r>
        <w:rPr>
          <w:rStyle w:val="CommentReference"/>
        </w:rPr>
        <w:annotationRef/>
      </w:r>
    </w:p>
  </w:comment>
  <w:comment w:id="38" w:author="Harriet Bradley" w:date="2020-10-12T21:32:00Z" w:initials="HB">
    <w:p w14:paraId="0A0F2464" w14:textId="0C155FAA" w:rsidR="7BC59903" w:rsidRDefault="25B43DF8" w:rsidP="25B43DF8">
      <w:pPr>
        <w:pStyle w:val="CommentText"/>
      </w:pPr>
      <w:r>
        <w:t>RED LINE - This cannot be in, because ANCs are not environmental payments, once the EP puts them back in, even in part, it will be very easy for the Council to include even more of them, right now they eat up on average 40% of the environmental budget in Pillar II</w:t>
      </w:r>
      <w:r w:rsidR="7BC59903">
        <w:rPr>
          <w:rStyle w:val="CommentReference"/>
        </w:rPr>
        <w:annotationRef/>
      </w:r>
      <w:r w:rsidR="7BC59903">
        <w:rPr>
          <w:rStyle w:val="CommentReference"/>
        </w:rPr>
        <w:annotationRef/>
      </w:r>
    </w:p>
  </w:comment>
  <w:comment w:id="39" w:author="Marco" w:date="2020-10-13T09:57:00Z" w:initials="M">
    <w:p w14:paraId="47F2632E" w14:textId="77777777" w:rsidR="00027D7C" w:rsidRDefault="00027D7C" w:rsidP="00027D7C">
      <w:pPr>
        <w:pStyle w:val="CommentText"/>
      </w:pPr>
      <w:r>
        <w:rPr>
          <w:rStyle w:val="CommentReference"/>
        </w:rPr>
        <w:annotationRef/>
      </w:r>
      <w:r>
        <w:rPr>
          <w:rStyle w:val="CommentReference"/>
        </w:rPr>
        <w:annotationRef/>
      </w:r>
      <w:r>
        <w:t>Adding this ring fencing while weakening the climate and environmental one does not make any sense. In particular if the EPP or other conservative forces want to include such a new ringfencing, then the climate and environmental one must be reserved to climate and environmental action, not wiped out by including ANCs in.</w:t>
      </w:r>
    </w:p>
    <w:p w14:paraId="6D974FA6" w14:textId="38D3B27B" w:rsidR="00027D7C" w:rsidRDefault="00027D7C">
      <w:pPr>
        <w:pStyle w:val="CommentText"/>
      </w:pPr>
    </w:p>
  </w:comment>
  <w:comment w:id="40" w:author="Harriet Bradley" w:date="2020-10-12T21:36:00Z" w:initials="HB">
    <w:p w14:paraId="46ED3996" w14:textId="537FD1F9" w:rsidR="0D1EF4B0" w:rsidRDefault="0D1EF4B0">
      <w:pPr>
        <w:pStyle w:val="CommentText"/>
      </w:pPr>
      <w:r>
        <w:t>R</w:t>
      </w:r>
      <w:r w:rsidR="00012676">
        <w:rPr>
          <w:lang/>
        </w:rPr>
        <w:t>ED LINE - r</w:t>
      </w:r>
      <w:proofErr w:type="spellStart"/>
      <w:r>
        <w:t>ingfencing</w:t>
      </w:r>
      <w:proofErr w:type="spellEnd"/>
      <w:r>
        <w:t xml:space="preserve"> for investments (68), risk management (70) according to economic incentives === &gt; billions of potential harmful spending (71 and 72 are Cooperation and AKIS)</w:t>
      </w:r>
      <w:r>
        <w:rPr>
          <w:rStyle w:val="CommentReference"/>
        </w:rPr>
        <w:annotationRef/>
      </w:r>
    </w:p>
  </w:comment>
  <w:comment w:id="41" w:author="Célia Nyssens" w:date="2020-10-12T21:34:00Z" w:initials="CN">
    <w:p w14:paraId="21FE053C" w14:textId="12072EDA" w:rsidR="00F57823" w:rsidRPr="00F57823" w:rsidRDefault="00F57823">
      <w:pPr>
        <w:pStyle w:val="CommentText"/>
      </w:pPr>
      <w:r>
        <w:rPr>
          <w:rStyle w:val="CommentReference"/>
        </w:rPr>
        <w:annotationRef/>
      </w:r>
      <w:r>
        <w:t xml:space="preserve">Ringfencing for Income support </w:t>
      </w:r>
      <w:r w:rsidR="00525683">
        <w:t>and sectorial payments is a BIG RED LINE</w:t>
      </w:r>
    </w:p>
  </w:comment>
  <w:comment w:id="42" w:author="Célia Nyssens" w:date="2020-10-12T21:37:00Z" w:initials="CN">
    <w:p w14:paraId="6C793393" w14:textId="4E932129" w:rsidR="00731B03" w:rsidRPr="00FC27AB" w:rsidRDefault="00731B03">
      <w:pPr>
        <w:pStyle w:val="CommentText"/>
        <w:rPr>
          <w:lang/>
        </w:rPr>
      </w:pPr>
      <w:r>
        <w:rPr>
          <w:rStyle w:val="CommentReference"/>
        </w:rPr>
        <w:annotationRef/>
      </w:r>
      <w:r>
        <w:t>30% is OK, but with the 60% ringfencing for DP and sectorial support</w:t>
      </w:r>
      <w:r w:rsidR="007C5E2B">
        <w:t xml:space="preserve">, it leaves no room for </w:t>
      </w:r>
      <w:r w:rsidR="003E4D9A">
        <w:t>any country wishing to spend more</w:t>
      </w:r>
      <w:r w:rsidR="00FC27AB">
        <w:rPr>
          <w:lang/>
        </w:rPr>
        <w:t>.</w:t>
      </w:r>
      <w:r w:rsidR="00FC27AB">
        <w:rPr>
          <w:lang/>
        </w:rPr>
        <w:br/>
      </w:r>
      <w:r w:rsidR="00FC27AB">
        <w:rPr>
          <w:lang/>
        </w:rPr>
        <w:br/>
        <w:t>Also, given the worrying elements in art 28a-b-c, this could be meaningless spending.</w:t>
      </w:r>
    </w:p>
  </w:comment>
  <w:comment w:id="43" w:author="Trees Robijns" w:date="2020-10-12T23:59:00Z" w:initials="TR">
    <w:p w14:paraId="64600543" w14:textId="1F5A92F2" w:rsidR="55294846" w:rsidRDefault="55294846">
      <w:pPr>
        <w:pStyle w:val="CommentText"/>
      </w:pPr>
      <w:r>
        <w:t xml:space="preserve">the AU proposal in semi simplified form </w:t>
      </w:r>
      <w:proofErr w:type="spellStart"/>
      <w:r>
        <w:t>fromwhat</w:t>
      </w:r>
      <w:proofErr w:type="spellEnd"/>
      <w:r>
        <w:t xml:space="preserve"> is in council. if you move money over, you can do less in ES</w:t>
      </w:r>
      <w:r>
        <w:rPr>
          <w:rStyle w:val="CommentReference"/>
        </w:rPr>
        <w:annotationRef/>
      </w:r>
    </w:p>
  </w:comment>
  <w:comment w:id="44" w:author="Célia Nyssens" w:date="2020-10-12T21:49:00Z" w:initials="CN">
    <w:p w14:paraId="60998C85" w14:textId="51CDD052" w:rsidR="0025247F" w:rsidRPr="0025247F" w:rsidRDefault="0025247F">
      <w:pPr>
        <w:pStyle w:val="CommentText"/>
      </w:pPr>
      <w:r>
        <w:rPr>
          <w:rStyle w:val="CommentReference"/>
        </w:rPr>
        <w:annotationRef/>
      </w:r>
      <w:r>
        <w:t>for cotton... why not...</w:t>
      </w:r>
    </w:p>
  </w:comment>
  <w:comment w:id="45" w:author="Trees Robijns" w:date="2020-10-13T00:01:00Z" w:initials="TR">
    <w:p w14:paraId="49BFF7B3" w14:textId="1DC43896" w:rsidR="55294846" w:rsidRPr="003F2C44" w:rsidRDefault="003F2C44">
      <w:pPr>
        <w:pStyle w:val="CommentText"/>
        <w:rPr>
          <w:lang/>
        </w:rPr>
      </w:pPr>
      <w:r>
        <w:rPr>
          <w:lang/>
        </w:rPr>
        <w:t xml:space="preserve">BAD </w:t>
      </w:r>
      <w:r w:rsidR="009B2D63">
        <w:rPr>
          <w:lang/>
        </w:rPr>
        <w:t>–</w:t>
      </w:r>
      <w:r>
        <w:rPr>
          <w:lang/>
        </w:rPr>
        <w:t xml:space="preserve"> </w:t>
      </w:r>
      <w:r w:rsidR="009B2D63">
        <w:rPr>
          <w:lang/>
        </w:rPr>
        <w:t>other communities should also have a right to this support.</w:t>
      </w:r>
    </w:p>
  </w:comment>
  <w:comment w:id="46" w:author="Harriet Bradley" w:date="2020-10-13T08:16:00Z" w:initials="HB">
    <w:p w14:paraId="105AFBB7" w14:textId="512B6E0E" w:rsidR="55294846" w:rsidRDefault="55294846">
      <w:pPr>
        <w:pStyle w:val="CommentText"/>
      </w:pPr>
      <w:r>
        <w:t>appears the fake climate tracking is gone, but need to clarify that the new methodology should come into force from the start of the period, not after the MTR: GOOD</w:t>
      </w:r>
      <w:r>
        <w:rPr>
          <w:rStyle w:val="CommentReference"/>
        </w:rPr>
        <w:annotationRef/>
      </w:r>
    </w:p>
  </w:comment>
  <w:comment w:id="47" w:author="Harriet Bradley" w:date="2020-10-12T21:43:00Z" w:initials="HB">
    <w:p w14:paraId="734E6E05" w14:textId="3BE11AB4" w:rsidR="42577596" w:rsidRDefault="42577596">
      <w:pPr>
        <w:pStyle w:val="CommentText"/>
      </w:pPr>
      <w:r>
        <w:t xml:space="preserve">they want to REDUCE the amount you can shift to Pillar II, although it has to go to </w:t>
      </w:r>
      <w:proofErr w:type="spellStart"/>
      <w:r>
        <w:t>agri</w:t>
      </w:r>
      <w:proofErr w:type="spellEnd"/>
      <w:r>
        <w:t xml:space="preserve"> env, but only for farmers... i.e. not conservation orgs</w:t>
      </w:r>
      <w:r>
        <w:rPr>
          <w:rStyle w:val="CommentReference"/>
        </w:rPr>
        <w:annotationRef/>
      </w:r>
    </w:p>
  </w:comment>
  <w:comment w:id="48" w:author="Trees Robijns" w:date="2020-10-13T00:06:00Z" w:initials="TR">
    <w:p w14:paraId="79F3576A" w14:textId="170A1E89" w:rsidR="55294846" w:rsidRDefault="55294846">
      <w:pPr>
        <w:pStyle w:val="CommentText"/>
      </w:pPr>
      <w:r>
        <w:t>goo</w:t>
      </w:r>
      <w:r w:rsidR="00DB2B6A">
        <w:rPr>
          <w:lang/>
        </w:rPr>
        <w:t>d</w:t>
      </w:r>
      <w:r>
        <w:t xml:space="preserve"> but that is just </w:t>
      </w:r>
      <w:proofErr w:type="spellStart"/>
      <w:r>
        <w:t>fightig</w:t>
      </w:r>
      <w:proofErr w:type="spellEnd"/>
      <w:r>
        <w:t xml:space="preserve"> on semantics ... </w:t>
      </w:r>
      <w:r w:rsidR="00DB2B6A">
        <w:rPr>
          <w:lang/>
        </w:rPr>
        <w:t>amounts are already</w:t>
      </w:r>
      <w:r>
        <w:t xml:space="preserve"> fixed in MFF</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3A77F1" w15:done="0"/>
  <w15:commentEx w15:paraId="4DCCE218" w15:done="0"/>
  <w15:commentEx w15:paraId="19AC9DCC" w15:done="0"/>
  <w15:commentEx w15:paraId="0953F153" w15:done="0"/>
  <w15:commentEx w15:paraId="3F8C5FD3" w15:done="0"/>
  <w15:commentEx w15:paraId="7FFCEF5A" w15:done="0"/>
  <w15:commentEx w15:paraId="7562B850" w15:done="0"/>
  <w15:commentEx w15:paraId="6DD0A888" w15:done="0"/>
  <w15:commentEx w15:paraId="1187B2A5" w15:done="0"/>
  <w15:commentEx w15:paraId="712E3F81" w15:paraIdParent="1187B2A5" w15:done="0"/>
  <w15:commentEx w15:paraId="6ACAA68E" w15:paraIdParent="1187B2A5" w15:done="0"/>
  <w15:commentEx w15:paraId="076DA7C4" w15:done="0"/>
  <w15:commentEx w15:paraId="6D1C3282" w15:done="0"/>
  <w15:commentEx w15:paraId="0448F5A0" w15:done="0"/>
  <w15:commentEx w15:paraId="0F1E5B00" w15:paraIdParent="0448F5A0" w15:done="0"/>
  <w15:commentEx w15:paraId="604B4A75" w15:done="0"/>
  <w15:commentEx w15:paraId="112FC950" w15:done="0"/>
  <w15:commentEx w15:paraId="72583CA0" w15:done="0"/>
  <w15:commentEx w15:paraId="7C96B7FE" w15:paraIdParent="72583CA0" w15:done="0"/>
  <w15:commentEx w15:paraId="24F43261" w15:done="0"/>
  <w15:commentEx w15:paraId="28AA674A" w15:done="0"/>
  <w15:commentEx w15:paraId="668EEF2E" w15:paraIdParent="28AA674A" w15:done="0"/>
  <w15:commentEx w15:paraId="2CF532CA" w15:done="0"/>
  <w15:commentEx w15:paraId="3C7959DB" w15:paraIdParent="2CF532CA" w15:done="0"/>
  <w15:commentEx w15:paraId="1B5D692F" w15:done="0"/>
  <w15:commentEx w15:paraId="387BA206" w15:done="0"/>
  <w15:commentEx w15:paraId="5773FC09" w15:done="0"/>
  <w15:commentEx w15:paraId="5C550E9F" w15:done="0"/>
  <w15:commentEx w15:paraId="5807235C" w15:done="0"/>
  <w15:commentEx w15:paraId="66870D7D" w15:done="0"/>
  <w15:commentEx w15:paraId="537ABB39" w15:done="0"/>
  <w15:commentEx w15:paraId="269DFF6C" w15:done="0"/>
  <w15:commentEx w15:paraId="0F557E0A" w15:done="0"/>
  <w15:commentEx w15:paraId="571A7F3F" w15:done="0"/>
  <w15:commentEx w15:paraId="5A6DAE23" w15:done="0"/>
  <w15:commentEx w15:paraId="164BCE88" w15:done="0"/>
  <w15:commentEx w15:paraId="116C7E9B" w15:done="0"/>
  <w15:commentEx w15:paraId="692F83F1" w15:done="0"/>
  <w15:commentEx w15:paraId="0A0F2464" w15:done="0"/>
  <w15:commentEx w15:paraId="6D974FA6" w15:done="0"/>
  <w15:commentEx w15:paraId="46ED3996" w15:done="0"/>
  <w15:commentEx w15:paraId="21FE053C" w15:done="0"/>
  <w15:commentEx w15:paraId="6C793393" w15:done="0"/>
  <w15:commentEx w15:paraId="64600543" w15:done="0"/>
  <w15:commentEx w15:paraId="60998C85" w15:done="0"/>
  <w15:commentEx w15:paraId="49BFF7B3" w15:done="0"/>
  <w15:commentEx w15:paraId="105AFBB7" w15:done="0"/>
  <w15:commentEx w15:paraId="734E6E05" w15:done="0"/>
  <w15:commentEx w15:paraId="79F357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F77E" w16cex:dateUtc="2020-10-13T07:52:00Z"/>
  <w16cex:commentExtensible w16cex:durableId="232FED75" w16cex:dateUtc="2020-10-13T07:09:00Z"/>
  <w16cex:commentExtensible w16cex:durableId="24D40EF5" w16cex:dateUtc="2020-10-12T21:13:00Z"/>
  <w16cex:commentExtensible w16cex:durableId="232FEDF1" w16cex:dateUtc="2020-10-13T07:12:00Z"/>
  <w16cex:commentExtensible w16cex:durableId="7E041521" w16cex:dateUtc="2020-10-12T21:17:00Z"/>
  <w16cex:commentExtensible w16cex:durableId="7ED9C65B" w16cex:dateUtc="2020-10-12T21:20:00Z"/>
  <w16cex:commentExtensible w16cex:durableId="255F97B0" w16cex:dateUtc="2020-10-13T06:54:00Z"/>
  <w16cex:commentExtensible w16cex:durableId="232FF7D0" w16cex:dateUtc="2020-10-13T07:54:00Z"/>
  <w16cex:commentExtensible w16cex:durableId="232F4480" w16cex:dateUtc="2020-10-12T19:09:00Z"/>
  <w16cex:commentExtensible w16cex:durableId="32B4F5B2" w16cex:dateUtc="2020-10-12T19:49:00Z"/>
  <w16cex:commentExtensible w16cex:durableId="5316AE9C" w16cex:dateUtc="2020-10-12T21:24:00Z"/>
  <w16cex:commentExtensible w16cex:durableId="2E21535B" w16cex:dateUtc="2020-10-12T21:29:00Z"/>
  <w16cex:commentExtensible w16cex:durableId="7E3F8007" w16cex:dateUtc="2020-10-13T06:56:00Z"/>
  <w16cex:commentExtensible w16cex:durableId="232F4534" w16cex:dateUtc="2020-10-12T19:12:00Z"/>
  <w16cex:commentExtensible w16cex:durableId="3DBB8715" w16cex:dateUtc="2020-10-12T19:50:00Z"/>
  <w16cex:commentExtensible w16cex:durableId="145099E7" w16cex:dateUtc="2020-10-12T19:51:00Z"/>
  <w16cex:commentExtensible w16cex:durableId="232FF7ED" w16cex:dateUtc="2020-10-13T07:54:00Z"/>
  <w16cex:commentExtensible w16cex:durableId="232F4866" w16cex:dateUtc="2020-10-12T19:25:00Z"/>
  <w16cex:commentExtensible w16cex:durableId="360CCA3C" w16cex:dateUtc="2020-10-12T21:28:00Z"/>
  <w16cex:commentExtensible w16cex:durableId="232F45CB" w16cex:dateUtc="2020-10-12T19:14:00Z"/>
  <w16cex:commentExtensible w16cex:durableId="232F45F1" w16cex:dateUtc="2020-10-12T19:15:00Z"/>
  <w16cex:commentExtensible w16cex:durableId="7325ED97" w16cex:dateUtc="2020-10-12T21:31:00Z"/>
  <w16cex:commentExtensible w16cex:durableId="232F4742" w16cex:dateUtc="2020-10-12T19:21:00Z"/>
  <w16cex:commentExtensible w16cex:durableId="0A0256C0" w16cex:dateUtc="2020-10-12T19:53:00Z"/>
  <w16cex:commentExtensible w16cex:durableId="232FF818" w16cex:dateUtc="2020-10-13T07:55:00Z"/>
  <w16cex:commentExtensible w16cex:durableId="17E41EFF" w16cex:dateUtc="2020-10-12T21:35:00Z"/>
  <w16cex:commentExtensible w16cex:durableId="232FF82E" w16cex:dateUtc="2020-10-13T07:55:00Z"/>
  <w16cex:commentExtensible w16cex:durableId="232FF84E" w16cex:dateUtc="2020-10-13T07:56:00Z"/>
  <w16cex:commentExtensible w16cex:durableId="0F96ED95" w16cex:dateUtc="2020-10-12T21:37:00Z"/>
  <w16cex:commentExtensible w16cex:durableId="232F4767" w16cex:dateUtc="2020-10-12T19:21:00Z"/>
  <w16cex:commentExtensible w16cex:durableId="11872302" w16cex:dateUtc="2020-10-12T21:38:00Z"/>
  <w16cex:commentExtensible w16cex:durableId="36439289" w16cex:dateUtc="2020-10-12T19:56:00Z"/>
  <w16cex:commentExtensible w16cex:durableId="232F4817" w16cex:dateUtc="2020-10-12T19:24:00Z"/>
  <w16cex:commentExtensible w16cex:durableId="29FCED34" w16cex:dateUtc="2020-10-13T07:04:00Z"/>
  <w16cex:commentExtensible w16cex:durableId="28C1A9C7" w16cex:dateUtc="2020-10-12T19:59:00Z"/>
  <w16cex:commentExtensible w16cex:durableId="6CFB794E" w16cex:dateUtc="2020-10-12T20:00:00Z"/>
  <w16cex:commentExtensible w16cex:durableId="232F50E5" w16cex:dateUtc="2020-10-12T20:02:00Z"/>
  <w16cex:commentExtensible w16cex:durableId="0D84E73D" w16cex:dateUtc="2020-10-12T19:33:00Z"/>
  <w16cex:commentExtensible w16cex:durableId="3BD8DBD4" w16cex:dateUtc="2020-10-12T19:32:00Z"/>
  <w16cex:commentExtensible w16cex:durableId="232FF875" w16cex:dateUtc="2020-10-13T07:57:00Z"/>
  <w16cex:commentExtensible w16cex:durableId="78990D4A" w16cex:dateUtc="2020-10-12T19:36:00Z"/>
  <w16cex:commentExtensible w16cex:durableId="232F4A66" w16cex:dateUtc="2020-10-12T19:34:00Z"/>
  <w16cex:commentExtensible w16cex:durableId="232F4B1A" w16cex:dateUtc="2020-10-12T19:37:00Z"/>
  <w16cex:commentExtensible w16cex:durableId="3D91DCD5" w16cex:dateUtc="2020-10-12T21:59:00Z"/>
  <w16cex:commentExtensible w16cex:durableId="232F4DD6" w16cex:dateUtc="2020-10-12T19:49:00Z"/>
  <w16cex:commentExtensible w16cex:durableId="25B14DE9" w16cex:dateUtc="2020-10-12T22:01:00Z"/>
  <w16cex:commentExtensible w16cex:durableId="3812FC91" w16cex:dateUtc="2020-10-13T06:16:00Z"/>
  <w16cex:commentExtensible w16cex:durableId="4E482070" w16cex:dateUtc="2020-10-12T19:43:00Z"/>
  <w16cex:commentExtensible w16cex:durableId="7D093572" w16cex:dateUtc="2020-10-12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A77F1" w16cid:durableId="232FF77E"/>
  <w16cid:commentId w16cid:paraId="4DCCE218" w16cid:durableId="232FED75"/>
  <w16cid:commentId w16cid:paraId="19AC9DCC" w16cid:durableId="24D40EF5"/>
  <w16cid:commentId w16cid:paraId="0953F153" w16cid:durableId="232FEDF1"/>
  <w16cid:commentId w16cid:paraId="3F8C5FD3" w16cid:durableId="7E041521"/>
  <w16cid:commentId w16cid:paraId="7FFCEF5A" w16cid:durableId="7ED9C65B"/>
  <w16cid:commentId w16cid:paraId="7562B850" w16cid:durableId="255F97B0"/>
  <w16cid:commentId w16cid:paraId="6DD0A888" w16cid:durableId="232FF7D0"/>
  <w16cid:commentId w16cid:paraId="1187B2A5" w16cid:durableId="232F4480"/>
  <w16cid:commentId w16cid:paraId="712E3F81" w16cid:durableId="32B4F5B2"/>
  <w16cid:commentId w16cid:paraId="6ACAA68E" w16cid:durableId="5316AE9C"/>
  <w16cid:commentId w16cid:paraId="076DA7C4" w16cid:durableId="2E21535B"/>
  <w16cid:commentId w16cid:paraId="6D1C3282" w16cid:durableId="7E3F8007"/>
  <w16cid:commentId w16cid:paraId="0448F5A0" w16cid:durableId="232F4534"/>
  <w16cid:commentId w16cid:paraId="0F1E5B00" w16cid:durableId="3DBB8715"/>
  <w16cid:commentId w16cid:paraId="604B4A75" w16cid:durableId="145099E7"/>
  <w16cid:commentId w16cid:paraId="112FC950" w16cid:durableId="232FF7ED"/>
  <w16cid:commentId w16cid:paraId="72583CA0" w16cid:durableId="232F4866"/>
  <w16cid:commentId w16cid:paraId="7C96B7FE" w16cid:durableId="360CCA3C"/>
  <w16cid:commentId w16cid:paraId="24F43261" w16cid:durableId="232F45CB"/>
  <w16cid:commentId w16cid:paraId="28AA674A" w16cid:durableId="232F45F1"/>
  <w16cid:commentId w16cid:paraId="668EEF2E" w16cid:durableId="7325ED97"/>
  <w16cid:commentId w16cid:paraId="2CF532CA" w16cid:durableId="232F4742"/>
  <w16cid:commentId w16cid:paraId="3C7959DB" w16cid:durableId="0A0256C0"/>
  <w16cid:commentId w16cid:paraId="1B5D692F" w16cid:durableId="232FF818"/>
  <w16cid:commentId w16cid:paraId="387BA206" w16cid:durableId="17E41EFF"/>
  <w16cid:commentId w16cid:paraId="5773FC09" w16cid:durableId="232FF82E"/>
  <w16cid:commentId w16cid:paraId="5C550E9F" w16cid:durableId="232FF84E"/>
  <w16cid:commentId w16cid:paraId="5807235C" w16cid:durableId="0F96ED95"/>
  <w16cid:commentId w16cid:paraId="66870D7D" w16cid:durableId="232F4767"/>
  <w16cid:commentId w16cid:paraId="537ABB39" w16cid:durableId="11872302"/>
  <w16cid:commentId w16cid:paraId="269DFF6C" w16cid:durableId="36439289"/>
  <w16cid:commentId w16cid:paraId="0F557E0A" w16cid:durableId="232F4817"/>
  <w16cid:commentId w16cid:paraId="571A7F3F" w16cid:durableId="29FCED34"/>
  <w16cid:commentId w16cid:paraId="5A6DAE23" w16cid:durableId="28C1A9C7"/>
  <w16cid:commentId w16cid:paraId="164BCE88" w16cid:durableId="6CFB794E"/>
  <w16cid:commentId w16cid:paraId="116C7E9B" w16cid:durableId="232F50E5"/>
  <w16cid:commentId w16cid:paraId="692F83F1" w16cid:durableId="0D84E73D"/>
  <w16cid:commentId w16cid:paraId="0A0F2464" w16cid:durableId="3BD8DBD4"/>
  <w16cid:commentId w16cid:paraId="6D974FA6" w16cid:durableId="232FF875"/>
  <w16cid:commentId w16cid:paraId="46ED3996" w16cid:durableId="78990D4A"/>
  <w16cid:commentId w16cid:paraId="21FE053C" w16cid:durableId="232F4A66"/>
  <w16cid:commentId w16cid:paraId="6C793393" w16cid:durableId="232F4B1A"/>
  <w16cid:commentId w16cid:paraId="64600543" w16cid:durableId="3D91DCD5"/>
  <w16cid:commentId w16cid:paraId="60998C85" w16cid:durableId="232F4DD6"/>
  <w16cid:commentId w16cid:paraId="49BFF7B3" w16cid:durableId="25B14DE9"/>
  <w16cid:commentId w16cid:paraId="105AFBB7" w16cid:durableId="3812FC91"/>
  <w16cid:commentId w16cid:paraId="734E6E05" w16cid:durableId="4E482070"/>
  <w16cid:commentId w16cid:paraId="79F3576A" w16cid:durableId="7D0935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w15:presenceInfo w15:providerId="None" w15:userId="Marco"/>
  </w15:person>
  <w15:person w15:author="Célia Nyssens">
    <w15:presenceInfo w15:providerId="AD" w15:userId="S::celia.nyssens@eeb.org::ea2cac04-c672-459a-afe4-ebefcc1a453f"/>
  </w15:person>
  <w15:person w15:author="Trees Robijns">
    <w15:presenceInfo w15:providerId="AD" w15:userId="S::trees.robijns_gmail.com#ext#@birdlife.onmicrosoft.com::b423976c-e9e9-40f4-9108-6b0face5d16e"/>
  </w15:person>
  <w15:person w15:author="Célia Nyssens [2]">
    <w15:presenceInfo w15:providerId="AD" w15:userId="S::celia.nyssens_eeb.org#ext#@birdlife.onmicrosoft.com::2018e94f-d293-4a84-8431-1cb897f7376b"/>
  </w15:person>
  <w15:person w15:author="Harriet Bradley">
    <w15:presenceInfo w15:providerId="AD" w15:userId="S::harriet.bradley@birdlife.org::da7bde0d-ff1d-413b-95d3-9403b4a7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53"/>
    <w:rsid w:val="00001C28"/>
    <w:rsid w:val="0000798B"/>
    <w:rsid w:val="00012676"/>
    <w:rsid w:val="00027D7C"/>
    <w:rsid w:val="00040883"/>
    <w:rsid w:val="00056097"/>
    <w:rsid w:val="00074958"/>
    <w:rsid w:val="00085D03"/>
    <w:rsid w:val="000865AA"/>
    <w:rsid w:val="000B1E61"/>
    <w:rsid w:val="00115380"/>
    <w:rsid w:val="001313B1"/>
    <w:rsid w:val="001419A5"/>
    <w:rsid w:val="00145ACD"/>
    <w:rsid w:val="00160140"/>
    <w:rsid w:val="001705F5"/>
    <w:rsid w:val="0017317A"/>
    <w:rsid w:val="00186061"/>
    <w:rsid w:val="001877EF"/>
    <w:rsid w:val="00190FE2"/>
    <w:rsid w:val="001E4D75"/>
    <w:rsid w:val="001F4111"/>
    <w:rsid w:val="001F4FF7"/>
    <w:rsid w:val="00203427"/>
    <w:rsid w:val="002035A2"/>
    <w:rsid w:val="002415DD"/>
    <w:rsid w:val="00244248"/>
    <w:rsid w:val="0024615C"/>
    <w:rsid w:val="00246C1D"/>
    <w:rsid w:val="0025247F"/>
    <w:rsid w:val="00282B27"/>
    <w:rsid w:val="002B06E7"/>
    <w:rsid w:val="002C10B6"/>
    <w:rsid w:val="002D3F75"/>
    <w:rsid w:val="00305F1C"/>
    <w:rsid w:val="00315D4E"/>
    <w:rsid w:val="0033576C"/>
    <w:rsid w:val="003619FE"/>
    <w:rsid w:val="003E4D9A"/>
    <w:rsid w:val="003F27BB"/>
    <w:rsid w:val="003F2C44"/>
    <w:rsid w:val="00462F40"/>
    <w:rsid w:val="00480788"/>
    <w:rsid w:val="004829C8"/>
    <w:rsid w:val="004A2FB5"/>
    <w:rsid w:val="004A6753"/>
    <w:rsid w:val="004C7551"/>
    <w:rsid w:val="004D112F"/>
    <w:rsid w:val="00525683"/>
    <w:rsid w:val="00525D29"/>
    <w:rsid w:val="005276C1"/>
    <w:rsid w:val="005361E4"/>
    <w:rsid w:val="00536AA1"/>
    <w:rsid w:val="00564155"/>
    <w:rsid w:val="00587808"/>
    <w:rsid w:val="0059210F"/>
    <w:rsid w:val="005B656C"/>
    <w:rsid w:val="005B784B"/>
    <w:rsid w:val="005D55C7"/>
    <w:rsid w:val="005F56C9"/>
    <w:rsid w:val="00607D7D"/>
    <w:rsid w:val="00610883"/>
    <w:rsid w:val="006260F6"/>
    <w:rsid w:val="00626D45"/>
    <w:rsid w:val="00646F95"/>
    <w:rsid w:val="0066229E"/>
    <w:rsid w:val="006627EF"/>
    <w:rsid w:val="00667F13"/>
    <w:rsid w:val="00681425"/>
    <w:rsid w:val="00685350"/>
    <w:rsid w:val="006978C1"/>
    <w:rsid w:val="006D01ED"/>
    <w:rsid w:val="006D22F9"/>
    <w:rsid w:val="006D2FC3"/>
    <w:rsid w:val="00705218"/>
    <w:rsid w:val="00712259"/>
    <w:rsid w:val="00723E16"/>
    <w:rsid w:val="00731B03"/>
    <w:rsid w:val="007334C9"/>
    <w:rsid w:val="0075456F"/>
    <w:rsid w:val="00764804"/>
    <w:rsid w:val="007777BC"/>
    <w:rsid w:val="007821F9"/>
    <w:rsid w:val="007C03BE"/>
    <w:rsid w:val="007C230E"/>
    <w:rsid w:val="007C5E2B"/>
    <w:rsid w:val="007D5CA1"/>
    <w:rsid w:val="007D6B67"/>
    <w:rsid w:val="007E4369"/>
    <w:rsid w:val="007F2132"/>
    <w:rsid w:val="007F2CE4"/>
    <w:rsid w:val="007F3DB0"/>
    <w:rsid w:val="0081007B"/>
    <w:rsid w:val="00817758"/>
    <w:rsid w:val="00870C6B"/>
    <w:rsid w:val="00871EAC"/>
    <w:rsid w:val="00880447"/>
    <w:rsid w:val="008927D3"/>
    <w:rsid w:val="008A385B"/>
    <w:rsid w:val="008A749B"/>
    <w:rsid w:val="008B0022"/>
    <w:rsid w:val="008B4D9E"/>
    <w:rsid w:val="008B6509"/>
    <w:rsid w:val="008E4BA5"/>
    <w:rsid w:val="008F0AA8"/>
    <w:rsid w:val="0090218D"/>
    <w:rsid w:val="00924E73"/>
    <w:rsid w:val="00965E79"/>
    <w:rsid w:val="00976A5F"/>
    <w:rsid w:val="009A5B02"/>
    <w:rsid w:val="009B2D63"/>
    <w:rsid w:val="009D0507"/>
    <w:rsid w:val="009E6071"/>
    <w:rsid w:val="009E6A06"/>
    <w:rsid w:val="00A0377D"/>
    <w:rsid w:val="00A46452"/>
    <w:rsid w:val="00A708D5"/>
    <w:rsid w:val="00A97FC6"/>
    <w:rsid w:val="00AE732F"/>
    <w:rsid w:val="00AF0537"/>
    <w:rsid w:val="00B038B1"/>
    <w:rsid w:val="00B31353"/>
    <w:rsid w:val="00B31F78"/>
    <w:rsid w:val="00B402B7"/>
    <w:rsid w:val="00B51B63"/>
    <w:rsid w:val="00B548AE"/>
    <w:rsid w:val="00B550F6"/>
    <w:rsid w:val="00B749DE"/>
    <w:rsid w:val="00B84857"/>
    <w:rsid w:val="00C05FEF"/>
    <w:rsid w:val="00C177EB"/>
    <w:rsid w:val="00C803CD"/>
    <w:rsid w:val="00C851C7"/>
    <w:rsid w:val="00CD429E"/>
    <w:rsid w:val="00D12908"/>
    <w:rsid w:val="00D26148"/>
    <w:rsid w:val="00D4570B"/>
    <w:rsid w:val="00D504FB"/>
    <w:rsid w:val="00D57A14"/>
    <w:rsid w:val="00D67BFC"/>
    <w:rsid w:val="00D72861"/>
    <w:rsid w:val="00D73927"/>
    <w:rsid w:val="00DB2B6A"/>
    <w:rsid w:val="00DF4B80"/>
    <w:rsid w:val="00E12652"/>
    <w:rsid w:val="00E22923"/>
    <w:rsid w:val="00E25882"/>
    <w:rsid w:val="00E6361F"/>
    <w:rsid w:val="00E75CE3"/>
    <w:rsid w:val="00ED46E9"/>
    <w:rsid w:val="00EE201B"/>
    <w:rsid w:val="00EE3054"/>
    <w:rsid w:val="00F01544"/>
    <w:rsid w:val="00F57823"/>
    <w:rsid w:val="00F57E34"/>
    <w:rsid w:val="00F7019F"/>
    <w:rsid w:val="00F70AFB"/>
    <w:rsid w:val="00F72999"/>
    <w:rsid w:val="00F8278B"/>
    <w:rsid w:val="00F957E0"/>
    <w:rsid w:val="00F96EEB"/>
    <w:rsid w:val="00FA0ECD"/>
    <w:rsid w:val="00FA1D53"/>
    <w:rsid w:val="00FB76BC"/>
    <w:rsid w:val="00FC27AB"/>
    <w:rsid w:val="00FF0958"/>
    <w:rsid w:val="03F9827D"/>
    <w:rsid w:val="04AE79FF"/>
    <w:rsid w:val="05B88824"/>
    <w:rsid w:val="0A6D879F"/>
    <w:rsid w:val="0C3B98AE"/>
    <w:rsid w:val="0D1EF4B0"/>
    <w:rsid w:val="0D2640AA"/>
    <w:rsid w:val="0D542E7A"/>
    <w:rsid w:val="100D6B89"/>
    <w:rsid w:val="101B74B0"/>
    <w:rsid w:val="117DA860"/>
    <w:rsid w:val="118FA28C"/>
    <w:rsid w:val="13CC6356"/>
    <w:rsid w:val="145D20F9"/>
    <w:rsid w:val="15B90C75"/>
    <w:rsid w:val="1962553E"/>
    <w:rsid w:val="1A652D51"/>
    <w:rsid w:val="1C7EC184"/>
    <w:rsid w:val="1D902D28"/>
    <w:rsid w:val="1ECC394D"/>
    <w:rsid w:val="1FE0E20A"/>
    <w:rsid w:val="2136E0E6"/>
    <w:rsid w:val="24F05C81"/>
    <w:rsid w:val="25B43DF8"/>
    <w:rsid w:val="260AE4AF"/>
    <w:rsid w:val="289CFEDD"/>
    <w:rsid w:val="29632493"/>
    <w:rsid w:val="298FE312"/>
    <w:rsid w:val="2AD4CC38"/>
    <w:rsid w:val="2CD16E09"/>
    <w:rsid w:val="2D96E5F3"/>
    <w:rsid w:val="2EE3EC4E"/>
    <w:rsid w:val="30531A85"/>
    <w:rsid w:val="34A5AC29"/>
    <w:rsid w:val="36F1BE00"/>
    <w:rsid w:val="3B6F98B2"/>
    <w:rsid w:val="3D0AAA5D"/>
    <w:rsid w:val="3DE7696E"/>
    <w:rsid w:val="41A18A6F"/>
    <w:rsid w:val="42577596"/>
    <w:rsid w:val="42A4E8C8"/>
    <w:rsid w:val="42D56F01"/>
    <w:rsid w:val="4349349F"/>
    <w:rsid w:val="439044A1"/>
    <w:rsid w:val="43DB2034"/>
    <w:rsid w:val="4C2911C3"/>
    <w:rsid w:val="4F078508"/>
    <w:rsid w:val="4F93730A"/>
    <w:rsid w:val="4FF79BA3"/>
    <w:rsid w:val="520309B5"/>
    <w:rsid w:val="52C05967"/>
    <w:rsid w:val="53F5E51A"/>
    <w:rsid w:val="53F8748A"/>
    <w:rsid w:val="5456CA0C"/>
    <w:rsid w:val="55294846"/>
    <w:rsid w:val="556ACD09"/>
    <w:rsid w:val="55E653AA"/>
    <w:rsid w:val="5A536A7A"/>
    <w:rsid w:val="5B478A9E"/>
    <w:rsid w:val="5CF970C7"/>
    <w:rsid w:val="5D045C30"/>
    <w:rsid w:val="5EE094FB"/>
    <w:rsid w:val="60397E95"/>
    <w:rsid w:val="6278412B"/>
    <w:rsid w:val="65662842"/>
    <w:rsid w:val="65A62AC4"/>
    <w:rsid w:val="68015773"/>
    <w:rsid w:val="6F9C2068"/>
    <w:rsid w:val="7254F797"/>
    <w:rsid w:val="739C5081"/>
    <w:rsid w:val="75023D2B"/>
    <w:rsid w:val="774B3378"/>
    <w:rsid w:val="798454A0"/>
    <w:rsid w:val="7BC59903"/>
    <w:rsid w:val="7BFCD97A"/>
    <w:rsid w:val="7EFB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7EC"/>
  <w15:docId w15:val="{36272EFF-3D99-43CA-9398-73C48AC0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3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tPE">
    <w:name w:val="EntPE"/>
    <w:basedOn w:val="Normal12"/>
    <w:rsid w:val="004A6753"/>
    <w:pPr>
      <w:jc w:val="center"/>
    </w:pPr>
    <w:rPr>
      <w:noProof w:val="0"/>
      <w:sz w:val="56"/>
    </w:rPr>
  </w:style>
  <w:style w:type="paragraph" w:customStyle="1" w:styleId="Normal12">
    <w:name w:val="Normal12"/>
    <w:basedOn w:val="Normal"/>
    <w:link w:val="Normal12Char"/>
    <w:rsid w:val="004A6753"/>
    <w:pPr>
      <w:widowControl w:val="0"/>
      <w:spacing w:after="240"/>
    </w:pPr>
    <w:rPr>
      <w:noProof/>
      <w:szCs w:val="20"/>
    </w:rPr>
  </w:style>
  <w:style w:type="character" w:customStyle="1" w:styleId="HideTWBExt">
    <w:name w:val="HideTWBExt"/>
    <w:basedOn w:val="DefaultParagraphFont"/>
    <w:rsid w:val="004A6753"/>
    <w:rPr>
      <w:rFonts w:ascii="Arial" w:hAnsi="Arial" w:cs="Times New Roman"/>
      <w:noProof/>
      <w:vanish/>
      <w:color w:val="000080"/>
      <w:sz w:val="20"/>
    </w:rPr>
  </w:style>
  <w:style w:type="paragraph" w:customStyle="1" w:styleId="CommitteeAM">
    <w:name w:val="CommitteeAM"/>
    <w:basedOn w:val="Normal"/>
    <w:rsid w:val="004A6753"/>
    <w:pPr>
      <w:widowControl w:val="0"/>
      <w:spacing w:before="240" w:after="600"/>
      <w:jc w:val="center"/>
    </w:pPr>
    <w:rPr>
      <w:i/>
      <w:szCs w:val="20"/>
    </w:rPr>
  </w:style>
  <w:style w:type="paragraph" w:customStyle="1" w:styleId="ZDateAM">
    <w:name w:val="ZDateAM"/>
    <w:basedOn w:val="Normal"/>
    <w:rsid w:val="004A6753"/>
    <w:pPr>
      <w:widowControl w:val="0"/>
      <w:tabs>
        <w:tab w:val="right" w:pos="9356"/>
      </w:tabs>
      <w:spacing w:after="480"/>
    </w:pPr>
    <w:rPr>
      <w:noProof/>
      <w:szCs w:val="20"/>
    </w:rPr>
  </w:style>
  <w:style w:type="paragraph" w:customStyle="1" w:styleId="ProjRap">
    <w:name w:val="ProjRap"/>
    <w:basedOn w:val="Normal"/>
    <w:rsid w:val="004A6753"/>
    <w:pPr>
      <w:widowControl w:val="0"/>
      <w:tabs>
        <w:tab w:val="right" w:pos="9356"/>
      </w:tabs>
    </w:pPr>
    <w:rPr>
      <w:b/>
      <w:noProof/>
      <w:szCs w:val="20"/>
    </w:rPr>
  </w:style>
  <w:style w:type="character" w:customStyle="1" w:styleId="Normal12Char">
    <w:name w:val="Normal12 Char"/>
    <w:basedOn w:val="DefaultParagraphFont"/>
    <w:link w:val="Normal12"/>
    <w:locked/>
    <w:rsid w:val="004A6753"/>
    <w:rPr>
      <w:noProof/>
      <w:sz w:val="24"/>
      <w:lang w:val="en-GB" w:eastAsia="en-GB" w:bidi="ar-SA"/>
    </w:rPr>
  </w:style>
  <w:style w:type="table" w:styleId="TableGrid">
    <w:name w:val="Table Grid"/>
    <w:basedOn w:val="TableNormal"/>
    <w:rsid w:val="004A67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ELeft">
    <w:name w:val="PELeft"/>
    <w:basedOn w:val="Normal"/>
    <w:rsid w:val="004A6753"/>
    <w:pPr>
      <w:widowControl w:val="0"/>
      <w:spacing w:before="40" w:after="40"/>
    </w:pPr>
    <w:rPr>
      <w:rFonts w:ascii="Arial" w:hAnsi="Arial" w:cs="Arial"/>
      <w:sz w:val="22"/>
      <w:szCs w:val="22"/>
      <w:lang w:val="fr-FR"/>
    </w:rPr>
  </w:style>
  <w:style w:type="paragraph" w:customStyle="1" w:styleId="PERight">
    <w:name w:val="PERight"/>
    <w:basedOn w:val="Normal"/>
    <w:next w:val="Normal"/>
    <w:rsid w:val="004A6753"/>
    <w:pPr>
      <w:widowControl w:val="0"/>
      <w:jc w:val="right"/>
    </w:pPr>
    <w:rPr>
      <w:rFonts w:ascii="Arial" w:hAnsi="Arial" w:cs="Arial"/>
      <w:sz w:val="22"/>
      <w:szCs w:val="22"/>
      <w:lang w:val="fr-FR"/>
    </w:rPr>
  </w:style>
  <w:style w:type="character" w:customStyle="1" w:styleId="HideTWBInt">
    <w:name w:val="HideTWBInt"/>
    <w:basedOn w:val="DefaultParagraphFont"/>
    <w:rsid w:val="004A6753"/>
    <w:rPr>
      <w:vanish/>
      <w:color w:val="808080"/>
    </w:rPr>
  </w:style>
  <w:style w:type="paragraph" w:customStyle="1" w:styleId="Normal6">
    <w:name w:val="Normal6"/>
    <w:basedOn w:val="Normal"/>
    <w:link w:val="Normal6Char"/>
    <w:rsid w:val="004A6753"/>
    <w:pPr>
      <w:widowControl w:val="0"/>
      <w:spacing w:after="120"/>
    </w:pPr>
    <w:rPr>
      <w:szCs w:val="20"/>
      <w:lang w:val="fr-FR"/>
    </w:rPr>
  </w:style>
  <w:style w:type="paragraph" w:customStyle="1" w:styleId="NormalBold">
    <w:name w:val="NormalBold"/>
    <w:basedOn w:val="Normal"/>
    <w:link w:val="NormalBoldChar"/>
    <w:rsid w:val="004A6753"/>
    <w:pPr>
      <w:widowControl w:val="0"/>
    </w:pPr>
    <w:rPr>
      <w:b/>
      <w:szCs w:val="20"/>
      <w:lang w:val="fr-FR"/>
    </w:rPr>
  </w:style>
  <w:style w:type="paragraph" w:customStyle="1" w:styleId="Normal12Italic">
    <w:name w:val="Normal12Italic"/>
    <w:basedOn w:val="Normal12"/>
    <w:rsid w:val="004A6753"/>
    <w:rPr>
      <w:i/>
      <w:lang w:val="fr-FR"/>
    </w:rPr>
  </w:style>
  <w:style w:type="character" w:customStyle="1" w:styleId="NormalBoldChar">
    <w:name w:val="NormalBold Char"/>
    <w:basedOn w:val="DefaultParagraphFont"/>
    <w:link w:val="NormalBold"/>
    <w:rsid w:val="004A6753"/>
    <w:rPr>
      <w:b/>
      <w:sz w:val="24"/>
      <w:lang w:val="fr-FR" w:eastAsia="en-GB" w:bidi="ar-SA"/>
    </w:rPr>
  </w:style>
  <w:style w:type="paragraph" w:customStyle="1" w:styleId="JustificationTitle">
    <w:name w:val="JustificationTitle"/>
    <w:basedOn w:val="Normal"/>
    <w:next w:val="Normal12"/>
    <w:rsid w:val="004A6753"/>
    <w:pPr>
      <w:keepNext/>
      <w:widowControl w:val="0"/>
      <w:spacing w:before="240" w:after="240"/>
      <w:jc w:val="center"/>
    </w:pPr>
    <w:rPr>
      <w:i/>
      <w:noProof/>
      <w:szCs w:val="20"/>
      <w:lang w:val="fr-FR"/>
    </w:rPr>
  </w:style>
  <w:style w:type="paragraph" w:customStyle="1" w:styleId="Olang">
    <w:name w:val="Olang"/>
    <w:basedOn w:val="Normal"/>
    <w:rsid w:val="004A6753"/>
    <w:pPr>
      <w:widowControl w:val="0"/>
      <w:spacing w:before="240" w:after="240"/>
      <w:jc w:val="right"/>
    </w:pPr>
    <w:rPr>
      <w:noProof/>
      <w:lang w:val="fr-FR"/>
    </w:rPr>
  </w:style>
  <w:style w:type="character" w:customStyle="1" w:styleId="Normal6Char">
    <w:name w:val="Normal6 Char"/>
    <w:basedOn w:val="DefaultParagraphFont"/>
    <w:link w:val="Normal6"/>
    <w:rsid w:val="004A6753"/>
    <w:rPr>
      <w:sz w:val="24"/>
      <w:lang w:val="fr-FR" w:eastAsia="en-GB" w:bidi="ar-SA"/>
    </w:rPr>
  </w:style>
  <w:style w:type="paragraph" w:customStyle="1" w:styleId="ColumnHeading">
    <w:name w:val="ColumnHeading"/>
    <w:basedOn w:val="Normal"/>
    <w:rsid w:val="004A6753"/>
    <w:pPr>
      <w:widowControl w:val="0"/>
      <w:spacing w:after="240"/>
      <w:jc w:val="center"/>
    </w:pPr>
    <w:rPr>
      <w:i/>
      <w:szCs w:val="20"/>
      <w:lang w:val="fr-FR"/>
    </w:rPr>
  </w:style>
  <w:style w:type="paragraph" w:customStyle="1" w:styleId="AMNumberTabs">
    <w:name w:val="AMNumberTabs"/>
    <w:basedOn w:val="Normal"/>
    <w:rsid w:val="004A675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val="fr-FR"/>
    </w:rPr>
  </w:style>
  <w:style w:type="paragraph" w:customStyle="1" w:styleId="NormalBold12b">
    <w:name w:val="NormalBold12b"/>
    <w:basedOn w:val="Normal"/>
    <w:rsid w:val="004A6753"/>
    <w:pPr>
      <w:widowControl w:val="0"/>
      <w:spacing w:before="240"/>
    </w:pPr>
    <w:rPr>
      <w:b/>
      <w:szCs w:val="20"/>
      <w:lang w:val="fr-FR"/>
    </w:rPr>
  </w:style>
  <w:style w:type="paragraph" w:customStyle="1" w:styleId="CrossRef">
    <w:name w:val="CrossRef"/>
    <w:basedOn w:val="Normal"/>
    <w:rsid w:val="000B1E61"/>
    <w:pPr>
      <w:widowControl w:val="0"/>
      <w:spacing w:before="240"/>
      <w:jc w:val="center"/>
    </w:pPr>
    <w:rPr>
      <w:i/>
      <w:szCs w:val="20"/>
      <w:lang w:val="fr-FR"/>
    </w:rPr>
  </w:style>
  <w:style w:type="paragraph" w:customStyle="1" w:styleId="Olang0">
    <w:name w:val="Olang"/>
    <w:rsid w:val="007C03BE"/>
    <w:pPr>
      <w:jc w:val="right"/>
    </w:pPr>
  </w:style>
  <w:style w:type="paragraph" w:styleId="Footer">
    <w:name w:val="footer"/>
    <w:rsid w:val="007C03BE"/>
    <w:pPr>
      <w:tabs>
        <w:tab w:val="center" w:pos="4536"/>
        <w:tab w:val="right" w:pos="9072"/>
      </w:tabs>
      <w:spacing w:before="240" w:after="240" w:line="221" w:lineRule="auto"/>
    </w:pPr>
    <w:rPr>
      <w:sz w:val="22"/>
    </w:rPr>
  </w:style>
  <w:style w:type="paragraph" w:customStyle="1" w:styleId="Footer2">
    <w:name w:val="Footer2"/>
    <w:basedOn w:val="Normal12"/>
    <w:rsid w:val="007C03BE"/>
    <w:pPr>
      <w:tabs>
        <w:tab w:val="center" w:pos="4535"/>
        <w:tab w:val="right" w:pos="9923"/>
      </w:tabs>
      <w:spacing w:line="480" w:lineRule="auto"/>
      <w:ind w:left="-851"/>
    </w:pPr>
    <w:rPr>
      <w:rFonts w:ascii="Arial" w:cs="Arial"/>
      <w:b/>
      <w:sz w:val="48"/>
    </w:rPr>
  </w:style>
  <w:style w:type="character" w:customStyle="1" w:styleId="Footer2Middle">
    <w:name w:val="Footer2Middle"/>
    <w:rsid w:val="007C03BE"/>
    <w:rPr>
      <w:rFonts w:ascii="Arial" w:cs="Arial"/>
      <w:b w:val="0"/>
      <w:i/>
      <w:color w:val="C0C0C0"/>
      <w:sz w:val="22"/>
    </w:rPr>
  </w:style>
  <w:style w:type="paragraph" w:customStyle="1" w:styleId="Olang00">
    <w:name w:val="Olang0"/>
    <w:rsid w:val="00CD429E"/>
    <w:pPr>
      <w:jc w:val="right"/>
    </w:pPr>
  </w:style>
  <w:style w:type="character" w:styleId="CommentReference">
    <w:name w:val="annotation reference"/>
    <w:basedOn w:val="DefaultParagraphFont"/>
    <w:semiHidden/>
    <w:unhideWhenUsed/>
    <w:rsid w:val="006D01ED"/>
    <w:rPr>
      <w:sz w:val="16"/>
      <w:szCs w:val="16"/>
    </w:rPr>
  </w:style>
  <w:style w:type="paragraph" w:styleId="CommentText">
    <w:name w:val="annotation text"/>
    <w:basedOn w:val="Normal"/>
    <w:link w:val="CommentTextChar"/>
    <w:semiHidden/>
    <w:unhideWhenUsed/>
    <w:rsid w:val="006D01ED"/>
    <w:rPr>
      <w:sz w:val="20"/>
      <w:szCs w:val="20"/>
    </w:rPr>
  </w:style>
  <w:style w:type="character" w:customStyle="1" w:styleId="CommentTextChar">
    <w:name w:val="Comment Text Char"/>
    <w:basedOn w:val="DefaultParagraphFont"/>
    <w:link w:val="CommentText"/>
    <w:semiHidden/>
    <w:rsid w:val="006D01ED"/>
  </w:style>
  <w:style w:type="paragraph" w:styleId="CommentSubject">
    <w:name w:val="annotation subject"/>
    <w:basedOn w:val="CommentText"/>
    <w:next w:val="CommentText"/>
    <w:link w:val="CommentSubjectChar"/>
    <w:semiHidden/>
    <w:unhideWhenUsed/>
    <w:rsid w:val="006D01ED"/>
    <w:rPr>
      <w:b/>
      <w:bCs/>
    </w:rPr>
  </w:style>
  <w:style w:type="character" w:customStyle="1" w:styleId="CommentSubjectChar">
    <w:name w:val="Comment Subject Char"/>
    <w:basedOn w:val="CommentTextChar"/>
    <w:link w:val="CommentSubject"/>
    <w:semiHidden/>
    <w:rsid w:val="006D01ED"/>
    <w:rPr>
      <w:b/>
      <w:bCs/>
    </w:rPr>
  </w:style>
  <w:style w:type="paragraph" w:styleId="BalloonText">
    <w:name w:val="Balloon Text"/>
    <w:basedOn w:val="Normal"/>
    <w:link w:val="BalloonTextChar"/>
    <w:semiHidden/>
    <w:unhideWhenUsed/>
    <w:rsid w:val="006D01ED"/>
    <w:rPr>
      <w:rFonts w:ascii="Segoe UI" w:hAnsi="Segoe UI" w:cs="Segoe UI"/>
      <w:sz w:val="18"/>
      <w:szCs w:val="18"/>
    </w:rPr>
  </w:style>
  <w:style w:type="character" w:customStyle="1" w:styleId="BalloonTextChar">
    <w:name w:val="Balloon Text Char"/>
    <w:basedOn w:val="DefaultParagraphFont"/>
    <w:link w:val="BalloonText"/>
    <w:semiHidden/>
    <w:rsid w:val="006D01ED"/>
    <w:rPr>
      <w:rFonts w:ascii="Segoe UI" w:hAnsi="Segoe UI" w:cs="Segoe UI"/>
      <w:sz w:val="18"/>
      <w:szCs w:val="18"/>
    </w:rPr>
  </w:style>
  <w:style w:type="paragraph" w:customStyle="1" w:styleId="Olang000">
    <w:name w:val="Olang00"/>
    <w:rsid w:val="006260F6"/>
    <w:pPr>
      <w:jc w:val="right"/>
    </w:pPr>
  </w:style>
  <w:style w:type="paragraph" w:customStyle="1" w:styleId="Olang0000">
    <w:name w:val="Olang000"/>
    <w:rsid w:val="007F2132"/>
    <w:pPr>
      <w:jc w:val="right"/>
    </w:pPr>
  </w:style>
  <w:style w:type="paragraph" w:customStyle="1" w:styleId="Olang00000">
    <w:name w:val="Olang0000"/>
    <w:rsid w:val="00525683"/>
    <w:pPr>
      <w:jc w:val="right"/>
    </w:pPr>
  </w:style>
  <w:style w:type="paragraph" w:customStyle="1" w:styleId="Olang000000">
    <w:name w:val="Olang00000"/>
    <w:rsid w:val="00705218"/>
    <w:pPr>
      <w:jc w:val="right"/>
    </w:pPr>
  </w:style>
  <w:style w:type="paragraph" w:customStyle="1" w:styleId="Olang0000000">
    <w:name w:val="Olang000000"/>
    <w:rsid w:val="001F4111"/>
    <w:pPr>
      <w:jc w:val="right"/>
    </w:pPr>
  </w:style>
  <w:style w:type="paragraph" w:customStyle="1" w:styleId="Olang00000000">
    <w:name w:val="Olang0000000"/>
    <w:rsid w:val="007D5CA1"/>
    <w:pPr>
      <w:jc w:val="right"/>
    </w:pPr>
  </w:style>
  <w:style w:type="paragraph" w:customStyle="1" w:styleId="Olang000000000">
    <w:name w:val="Olang00000000"/>
    <w:rsid w:val="007E4369"/>
    <w:pPr>
      <w:jc w:val="right"/>
    </w:pPr>
  </w:style>
  <w:style w:type="paragraph" w:customStyle="1" w:styleId="Olang0000000000">
    <w:name w:val="Olang000000000"/>
    <w:rsid w:val="008E4BA5"/>
    <w:pPr>
      <w:jc w:val="right"/>
    </w:pPr>
  </w:style>
  <w:style w:type="paragraph" w:customStyle="1" w:styleId="Olang00000000000">
    <w:name w:val="Olang0000000000"/>
    <w:rsid w:val="00FA0ECD"/>
    <w:pPr>
      <w:jc w:val="right"/>
    </w:pPr>
  </w:style>
  <w:style w:type="paragraph" w:customStyle="1" w:styleId="Olang000000000000">
    <w:name w:val="Olang00000000000"/>
    <w:rsid w:val="00B31353"/>
    <w:pPr>
      <w:jc w:val="right"/>
    </w:pPr>
  </w:style>
  <w:style w:type="paragraph" w:customStyle="1" w:styleId="Olang0000000000000">
    <w:name w:val="Olang000000000000"/>
    <w:rsid w:val="00D12908"/>
    <w:pPr>
      <w:jc w:val="right"/>
    </w:pPr>
  </w:style>
  <w:style w:type="paragraph" w:customStyle="1" w:styleId="Olang00000000000000">
    <w:name w:val="Olang0000000000000"/>
    <w:rsid w:val="00764804"/>
    <w:pPr>
      <w:jc w:val="right"/>
    </w:pPr>
  </w:style>
  <w:style w:type="paragraph" w:customStyle="1" w:styleId="Olang000000000000000">
    <w:name w:val="Olang00000000000000"/>
    <w:rsid w:val="002035A2"/>
    <w:pPr>
      <w:jc w:val="right"/>
    </w:pPr>
  </w:style>
  <w:style w:type="paragraph" w:customStyle="1" w:styleId="Olang0000000000000000">
    <w:name w:val="Olang000000000000000"/>
    <w:rsid w:val="0033576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FBE520D53F6419D6CE6640FFC5C4A" ma:contentTypeVersion="2" ma:contentTypeDescription="Create a new document." ma:contentTypeScope="" ma:versionID="afaa9711905e266ccdecdb61b100ced5">
  <xsd:schema xmlns:xsd="http://www.w3.org/2001/XMLSchema" xmlns:xs="http://www.w3.org/2001/XMLSchema" xmlns:p="http://schemas.microsoft.com/office/2006/metadata/properties" xmlns:ns2="6f6db780-8838-45d6-be82-a189315e8013" targetNamespace="http://schemas.microsoft.com/office/2006/metadata/properties" ma:root="true" ma:fieldsID="d3a7752af20183f4347a356b5dcad0ec" ns2:_="">
    <xsd:import namespace="6f6db780-8838-45d6-be82-a189315e80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db780-8838-45d6-be82-a189315e8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27D2-7C24-4E3F-AEAB-7BCCC6961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8E15D-D2AA-4B85-9729-9995A841EA56}">
  <ds:schemaRefs>
    <ds:schemaRef ds:uri="http://schemas.microsoft.com/sharepoint/v3/contenttype/forms"/>
  </ds:schemaRefs>
</ds:datastoreItem>
</file>

<file path=customXml/itemProps3.xml><?xml version="1.0" encoding="utf-8"?>
<ds:datastoreItem xmlns:ds="http://schemas.openxmlformats.org/officeDocument/2006/customXml" ds:itemID="{F49CAC27-5EA5-4F93-9C28-014EB881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db780-8838-45d6-be82-a189315e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7774</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ESPETER Maxi</dc:creator>
  <cp:keywords/>
  <dc:description/>
  <cp:lastModifiedBy>Marco</cp:lastModifiedBy>
  <cp:revision>2</cp:revision>
  <dcterms:created xsi:type="dcterms:W3CDTF">2020-10-13T07:57:00Z</dcterms:created>
  <dcterms:modified xsi:type="dcterms:W3CDTF">2020-10-13T07:57:00Z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0x010100B3AFBE520D53F6419D6CE6640FFC5C4A</vt:lpwstr>
  </property>
</Properties>
</file>