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53C6" w14:textId="77777777" w:rsidR="00615B4B" w:rsidRDefault="00797474" w:rsidP="002C29A8">
      <w:pPr>
        <w:pStyle w:val="Pagedecouverture"/>
      </w:pPr>
      <w:r>
        <w:pict w14:anchorId="0473A8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207EA02-A26F-4996-8BA5-6F6A9A7A0BDE" style="width:458.25pt;height:411.75pt">
            <v:imagedata r:id="rId7" o:title=""/>
          </v:shape>
        </w:pict>
      </w:r>
    </w:p>
    <w:p w14:paraId="269DA43B" w14:textId="77777777" w:rsidR="00615B4B" w:rsidRDefault="00615B4B" w:rsidP="00615B4B">
      <w:pPr>
        <w:sectPr w:rsidR="00615B4B" w:rsidSect="00866F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08B221FC" w14:textId="77777777" w:rsidR="009567C0" w:rsidRDefault="009567C0" w:rsidP="009567C0">
      <w:pPr>
        <w:pStyle w:val="Annexetitre"/>
        <w:rPr>
          <w:noProof/>
        </w:rPr>
      </w:pPr>
      <w:r w:rsidRPr="00BF0C05">
        <w:rPr>
          <w:noProof/>
        </w:rPr>
        <w:lastRenderedPageBreak/>
        <w:t>ANNEX I</w:t>
      </w:r>
    </w:p>
    <w:p w14:paraId="34CE7D04" w14:textId="77777777" w:rsidR="00A574C4" w:rsidRPr="00A574C4" w:rsidRDefault="00A574C4" w:rsidP="00A574C4"/>
    <w:tbl>
      <w:tblPr>
        <w:tblW w:w="0" w:type="auto"/>
        <w:tblInd w:w="3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5"/>
        <w:gridCol w:w="2394"/>
        <w:gridCol w:w="2337"/>
        <w:gridCol w:w="1876"/>
        <w:gridCol w:w="1844"/>
        <w:gridCol w:w="4478"/>
      </w:tblGrid>
      <w:tr w:rsidR="00B64757" w:rsidRPr="00BF0C05" w14:paraId="13AA51EA" w14:textId="77777777" w:rsidTr="00371564">
        <w:trPr>
          <w:cantSplit/>
          <w:tblHeader/>
        </w:trPr>
        <w:tc>
          <w:tcPr>
            <w:tcW w:w="0" w:type="auto"/>
            <w:vAlign w:val="center"/>
          </w:tcPr>
          <w:p w14:paraId="709ECC54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Common Name,</w:t>
            </w:r>
            <w:r w:rsidRPr="00BF0C05">
              <w:rPr>
                <w:b/>
                <w:noProof/>
                <w:sz w:val="20"/>
                <w:szCs w:val="20"/>
              </w:rPr>
              <w:br/>
              <w:t>Identification Numbers</w:t>
            </w:r>
          </w:p>
        </w:tc>
        <w:tc>
          <w:tcPr>
            <w:tcW w:w="0" w:type="auto"/>
            <w:vAlign w:val="center"/>
          </w:tcPr>
          <w:p w14:paraId="1711B678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IUPAC Name</w:t>
            </w:r>
          </w:p>
        </w:tc>
        <w:tc>
          <w:tcPr>
            <w:tcW w:w="2337" w:type="dxa"/>
            <w:vAlign w:val="center"/>
          </w:tcPr>
          <w:p w14:paraId="1D91C820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Purity</w:t>
            </w:r>
            <w:r w:rsidRPr="00BF0C05">
              <w:rPr>
                <w:rStyle w:val="FootnoteReference"/>
                <w:b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1876" w:type="dxa"/>
            <w:vAlign w:val="center"/>
          </w:tcPr>
          <w:p w14:paraId="7CB745BE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Date of approval</w:t>
            </w:r>
          </w:p>
        </w:tc>
        <w:tc>
          <w:tcPr>
            <w:tcW w:w="1844" w:type="dxa"/>
            <w:vAlign w:val="center"/>
          </w:tcPr>
          <w:p w14:paraId="1DFB8D3A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Expiration of approval</w:t>
            </w:r>
          </w:p>
        </w:tc>
        <w:tc>
          <w:tcPr>
            <w:tcW w:w="4478" w:type="dxa"/>
            <w:vAlign w:val="center"/>
          </w:tcPr>
          <w:p w14:paraId="56659FA5" w14:textId="77777777" w:rsidR="009567C0" w:rsidRPr="00BF0C05" w:rsidRDefault="009567C0" w:rsidP="0071760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Specific provisions</w:t>
            </w:r>
          </w:p>
        </w:tc>
      </w:tr>
      <w:tr w:rsidR="00B64757" w:rsidRPr="00BF0C05" w14:paraId="2F1B69EC" w14:textId="77777777" w:rsidTr="00371564">
        <w:tc>
          <w:tcPr>
            <w:tcW w:w="0" w:type="auto"/>
          </w:tcPr>
          <w:p w14:paraId="081530BD" w14:textId="77777777" w:rsidR="009567C0" w:rsidRPr="000F6443" w:rsidRDefault="00A10DFF" w:rsidP="00C41A26">
            <w:pPr>
              <w:spacing w:before="40" w:after="40"/>
              <w:jc w:val="left"/>
              <w:rPr>
                <w:sz w:val="20"/>
                <w:szCs w:val="20"/>
                <w:lang w:val="es-419"/>
              </w:rPr>
            </w:pPr>
            <w:r w:rsidRPr="000F6443">
              <w:rPr>
                <w:sz w:val="20"/>
                <w:szCs w:val="20"/>
                <w:lang w:val="es-419"/>
              </w:rPr>
              <w:t>Glyphosate</w:t>
            </w:r>
          </w:p>
          <w:p w14:paraId="2FFB7503" w14:textId="77777777" w:rsidR="00F21403" w:rsidRPr="000F6443" w:rsidRDefault="00F21403" w:rsidP="00C41A26">
            <w:pPr>
              <w:spacing w:before="40" w:after="40"/>
              <w:jc w:val="left"/>
              <w:rPr>
                <w:sz w:val="20"/>
                <w:szCs w:val="20"/>
                <w:lang w:val="es-419"/>
              </w:rPr>
            </w:pPr>
            <w:r w:rsidRPr="000F6443">
              <w:rPr>
                <w:sz w:val="20"/>
                <w:szCs w:val="20"/>
                <w:lang w:val="es-419"/>
              </w:rPr>
              <w:t xml:space="preserve">CAS No: </w:t>
            </w:r>
            <w:r w:rsidR="00A10DFF" w:rsidRPr="000F6443">
              <w:rPr>
                <w:sz w:val="20"/>
                <w:szCs w:val="20"/>
                <w:lang w:val="es-419"/>
              </w:rPr>
              <w:t>1071-83-6</w:t>
            </w:r>
          </w:p>
          <w:p w14:paraId="5CC4D053" w14:textId="77777777" w:rsidR="00F21403" w:rsidRPr="000F6443" w:rsidRDefault="00F21403" w:rsidP="00A10DFF">
            <w:pPr>
              <w:spacing w:before="40" w:after="40"/>
              <w:jc w:val="left"/>
              <w:rPr>
                <w:i/>
                <w:noProof/>
                <w:sz w:val="20"/>
                <w:szCs w:val="20"/>
                <w:lang w:val="es-419"/>
              </w:rPr>
            </w:pPr>
            <w:r w:rsidRPr="000F6443">
              <w:rPr>
                <w:sz w:val="20"/>
                <w:szCs w:val="20"/>
                <w:lang w:val="es-419"/>
              </w:rPr>
              <w:t xml:space="preserve">CIPAC No: </w:t>
            </w:r>
            <w:r w:rsidR="00A10DFF" w:rsidRPr="000F6443">
              <w:rPr>
                <w:sz w:val="20"/>
                <w:szCs w:val="20"/>
                <w:lang w:val="es-419"/>
              </w:rPr>
              <w:t>284</w:t>
            </w:r>
          </w:p>
        </w:tc>
        <w:tc>
          <w:tcPr>
            <w:tcW w:w="0" w:type="auto"/>
          </w:tcPr>
          <w:p w14:paraId="0578F100" w14:textId="77777777" w:rsidR="009567C0" w:rsidRPr="003A6500" w:rsidRDefault="00A10DFF" w:rsidP="00E63383">
            <w:pPr>
              <w:spacing w:before="0" w:after="0"/>
              <w:rPr>
                <w:noProof/>
                <w:sz w:val="20"/>
                <w:szCs w:val="20"/>
              </w:rPr>
            </w:pPr>
            <w:r w:rsidRPr="00A10DFF">
              <w:rPr>
                <w:noProof/>
                <w:sz w:val="20"/>
                <w:szCs w:val="20"/>
              </w:rPr>
              <w:t>N-(phosphonomethyl)glycine</w:t>
            </w:r>
          </w:p>
        </w:tc>
        <w:tc>
          <w:tcPr>
            <w:tcW w:w="2337" w:type="dxa"/>
          </w:tcPr>
          <w:p w14:paraId="0BC22F3F" w14:textId="77777777" w:rsidR="009567C0" w:rsidRDefault="00F21403" w:rsidP="00717608">
            <w:pPr>
              <w:spacing w:before="0" w:after="0"/>
              <w:jc w:val="left"/>
              <w:rPr>
                <w:sz w:val="20"/>
                <w:szCs w:val="20"/>
              </w:rPr>
            </w:pPr>
            <w:r w:rsidRPr="007128D7">
              <w:rPr>
                <w:sz w:val="20"/>
                <w:szCs w:val="20"/>
              </w:rPr>
              <w:t>≥</w:t>
            </w:r>
            <w:r w:rsidR="00905454">
              <w:rPr>
                <w:sz w:val="20"/>
                <w:szCs w:val="20"/>
              </w:rPr>
              <w:t xml:space="preserve"> 950</w:t>
            </w:r>
            <w:r w:rsidRPr="00F21403">
              <w:rPr>
                <w:sz w:val="20"/>
                <w:szCs w:val="20"/>
              </w:rPr>
              <w:t> g/kg</w:t>
            </w:r>
          </w:p>
          <w:p w14:paraId="339B37BD" w14:textId="77777777" w:rsidR="00A63EC8" w:rsidRPr="00A63EC8" w:rsidRDefault="00A63EC8" w:rsidP="00DF6C12">
            <w:pPr>
              <w:spacing w:before="40" w:after="40" w:line="276" w:lineRule="auto"/>
              <w:rPr>
                <w:noProof/>
                <w:sz w:val="20"/>
                <w:szCs w:val="20"/>
                <w:highlight w:val="cyan"/>
                <w:lang w:val="en-US"/>
              </w:rPr>
            </w:pPr>
          </w:p>
          <w:p w14:paraId="64B61BCF" w14:textId="77777777" w:rsidR="00A63EC8" w:rsidRPr="007128D7" w:rsidRDefault="00A63EC8" w:rsidP="00DF6C12">
            <w:pPr>
              <w:spacing w:before="40" w:after="40" w:line="276" w:lineRule="auto"/>
              <w:rPr>
                <w:noProof/>
                <w:sz w:val="20"/>
                <w:szCs w:val="20"/>
                <w:lang w:val="en-US"/>
              </w:rPr>
            </w:pPr>
            <w:r w:rsidRPr="007128D7">
              <w:rPr>
                <w:noProof/>
                <w:sz w:val="20"/>
                <w:szCs w:val="20"/>
                <w:lang w:val="en-US"/>
              </w:rPr>
              <w:t xml:space="preserve">The following impurities are of toxicological concern and </w:t>
            </w:r>
            <w:r w:rsidR="0061471B" w:rsidRPr="007128D7">
              <w:rPr>
                <w:noProof/>
                <w:sz w:val="20"/>
                <w:szCs w:val="20"/>
                <w:lang w:val="en-US"/>
              </w:rPr>
              <w:t>shall</w:t>
            </w:r>
            <w:r w:rsidRPr="007128D7">
              <w:rPr>
                <w:noProof/>
                <w:sz w:val="20"/>
                <w:szCs w:val="20"/>
                <w:lang w:val="en-US"/>
              </w:rPr>
              <w:t xml:space="preserve"> not exceed the following levels in the technical material:</w:t>
            </w:r>
          </w:p>
          <w:p w14:paraId="3955BF59" w14:textId="77777777" w:rsidR="00A63EC8" w:rsidRPr="00A63EC8" w:rsidRDefault="00A63EC8" w:rsidP="00A63EC8">
            <w:pPr>
              <w:spacing w:before="40" w:after="40" w:line="276" w:lineRule="auto"/>
              <w:jc w:val="left"/>
              <w:rPr>
                <w:noProof/>
                <w:sz w:val="20"/>
                <w:szCs w:val="20"/>
                <w:highlight w:val="cyan"/>
                <w:lang w:val="en-US"/>
              </w:rPr>
            </w:pPr>
          </w:p>
          <w:p w14:paraId="299A896F" w14:textId="77777777" w:rsidR="00A63EC8" w:rsidRPr="003B20E0" w:rsidRDefault="00A63EC8" w:rsidP="002629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 xml:space="preserve">- </w:t>
            </w:r>
            <w:r w:rsidR="004660BC" w:rsidRPr="003B20E0">
              <w:rPr>
                <w:i/>
                <w:iCs/>
                <w:sz w:val="20"/>
                <w:szCs w:val="20"/>
                <w:lang w:val="it-IT"/>
              </w:rPr>
              <w:t>N</w:t>
            </w:r>
            <w:r w:rsidR="004660BC" w:rsidRPr="003B20E0">
              <w:rPr>
                <w:sz w:val="20"/>
                <w:szCs w:val="20"/>
                <w:lang w:val="it-IT"/>
              </w:rPr>
              <w:t>-nitroso-glyphosate (NNG)</w:t>
            </w:r>
            <w:r w:rsidRPr="003B20E0">
              <w:rPr>
                <w:sz w:val="20"/>
                <w:szCs w:val="20"/>
                <w:lang w:val="it-IT"/>
              </w:rPr>
              <w:t xml:space="preserve">: </w:t>
            </w:r>
            <w:r w:rsidR="004660BC" w:rsidRPr="003B20E0">
              <w:rPr>
                <w:sz w:val="20"/>
                <w:szCs w:val="20"/>
                <w:lang w:val="it-IT"/>
              </w:rPr>
              <w:t>&lt; 1 mg/kg</w:t>
            </w:r>
          </w:p>
          <w:p w14:paraId="28972178" w14:textId="77777777" w:rsidR="00A63EC8" w:rsidRPr="003B20E0" w:rsidRDefault="00A63EC8" w:rsidP="002629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 xml:space="preserve">- </w:t>
            </w:r>
            <w:r w:rsidR="004660BC" w:rsidRPr="003B20E0">
              <w:rPr>
                <w:sz w:val="20"/>
                <w:szCs w:val="20"/>
                <w:lang w:val="it-IT"/>
              </w:rPr>
              <w:t>formaldehyde</w:t>
            </w:r>
            <w:r w:rsidRPr="003B20E0">
              <w:rPr>
                <w:sz w:val="20"/>
                <w:szCs w:val="20"/>
                <w:lang w:val="it-IT"/>
              </w:rPr>
              <w:t>:</w:t>
            </w:r>
            <w:r w:rsidR="00C738C0" w:rsidRPr="003B20E0">
              <w:rPr>
                <w:sz w:val="20"/>
                <w:szCs w:val="20"/>
                <w:lang w:val="it-IT"/>
              </w:rPr>
              <w:t xml:space="preserve"> &lt;</w:t>
            </w:r>
            <w:r w:rsidRPr="003B20E0">
              <w:rPr>
                <w:sz w:val="20"/>
                <w:szCs w:val="20"/>
                <w:lang w:val="it-IT"/>
              </w:rPr>
              <w:t xml:space="preserve"> </w:t>
            </w:r>
            <w:r w:rsidR="00C738C0" w:rsidRPr="003B20E0">
              <w:rPr>
                <w:sz w:val="20"/>
                <w:szCs w:val="20"/>
                <w:lang w:val="it-IT"/>
              </w:rPr>
              <w:t xml:space="preserve">1 </w:t>
            </w:r>
            <w:r w:rsidRPr="003B20E0">
              <w:rPr>
                <w:sz w:val="20"/>
                <w:szCs w:val="20"/>
                <w:lang w:val="it-IT"/>
              </w:rPr>
              <w:t>g/kg</w:t>
            </w:r>
          </w:p>
          <w:p w14:paraId="48EBD0A2" w14:textId="77777777" w:rsidR="004660BC" w:rsidRPr="003B20E0" w:rsidRDefault="004660BC" w:rsidP="002629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>- trimethylamine: ≤ 2g/kg</w:t>
            </w:r>
          </w:p>
          <w:p w14:paraId="19AFC11A" w14:textId="77777777" w:rsidR="004660BC" w:rsidRDefault="004660BC" w:rsidP="002629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>- formic acid: ≤ 4 g/kg</w:t>
            </w:r>
          </w:p>
          <w:p w14:paraId="068FCBA7" w14:textId="77777777" w:rsidR="0049142D" w:rsidRPr="00AE78C6" w:rsidRDefault="003D006A" w:rsidP="002629AF">
            <w:pPr>
              <w:spacing w:before="40" w:after="40" w:line="276" w:lineRule="auto"/>
              <w:jc w:val="left"/>
              <w:rPr>
                <w:noProof/>
                <w:sz w:val="20"/>
                <w:szCs w:val="20"/>
                <w:lang w:val="it-IT"/>
              </w:rPr>
            </w:pPr>
            <w:r w:rsidRPr="00AE78C6">
              <w:rPr>
                <w:sz w:val="20"/>
                <w:szCs w:val="20"/>
                <w:lang w:val="it-IT"/>
              </w:rPr>
              <w:t xml:space="preserve">- </w:t>
            </w:r>
            <w:r w:rsidR="004660BC" w:rsidRPr="00AE78C6">
              <w:rPr>
                <w:sz w:val="20"/>
                <w:szCs w:val="20"/>
                <w:lang w:val="it-IT"/>
              </w:rPr>
              <w:t>N,N-bis-phosphonomethylglycine (glyphosine)</w:t>
            </w:r>
            <w:r w:rsidR="00CF1727" w:rsidRPr="00AE78C6">
              <w:rPr>
                <w:sz w:val="20"/>
                <w:szCs w:val="20"/>
                <w:lang w:val="it-IT"/>
              </w:rPr>
              <w:t xml:space="preserve"> </w:t>
            </w:r>
            <w:r w:rsidR="004660BC" w:rsidRPr="00AE78C6">
              <w:rPr>
                <w:sz w:val="20"/>
                <w:szCs w:val="20"/>
                <w:lang w:val="it-IT"/>
              </w:rPr>
              <w:t xml:space="preserve">: </w:t>
            </w:r>
            <w:r w:rsidR="00370F03" w:rsidRPr="00AE78C6">
              <w:rPr>
                <w:sz w:val="20"/>
                <w:szCs w:val="20"/>
                <w:lang w:val="it-IT"/>
              </w:rPr>
              <w:t>≤ 3 g/kg</w:t>
            </w:r>
          </w:p>
        </w:tc>
        <w:tc>
          <w:tcPr>
            <w:tcW w:w="1876" w:type="dxa"/>
          </w:tcPr>
          <w:p w14:paraId="55848AE7" w14:textId="77777777" w:rsidR="009567C0" w:rsidRPr="00EE5641" w:rsidRDefault="0005407F" w:rsidP="00A63EC8">
            <w:pPr>
              <w:tabs>
                <w:tab w:val="left" w:pos="318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December 2023</w:t>
            </w:r>
          </w:p>
        </w:tc>
        <w:tc>
          <w:tcPr>
            <w:tcW w:w="1844" w:type="dxa"/>
          </w:tcPr>
          <w:p w14:paraId="58D19376" w14:textId="160F5CA2" w:rsidR="009567C0" w:rsidRPr="00B20DC0" w:rsidRDefault="00B20DC0" w:rsidP="00BA4B00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B20DC0">
              <w:rPr>
                <w:sz w:val="20"/>
                <w:szCs w:val="20"/>
              </w:rPr>
              <w:t>15</w:t>
            </w:r>
            <w:r w:rsidR="00F059A7">
              <w:rPr>
                <w:sz w:val="20"/>
                <w:szCs w:val="20"/>
              </w:rPr>
              <w:t xml:space="preserve"> December </w:t>
            </w:r>
            <w:r w:rsidRPr="00F01173">
              <w:rPr>
                <w:sz w:val="20"/>
                <w:szCs w:val="20"/>
              </w:rPr>
              <w:t>2033</w:t>
            </w:r>
          </w:p>
        </w:tc>
        <w:tc>
          <w:tcPr>
            <w:tcW w:w="4478" w:type="dxa"/>
          </w:tcPr>
          <w:p w14:paraId="7B130402" w14:textId="77777777" w:rsidR="00905454" w:rsidRPr="00636334" w:rsidRDefault="00905454" w:rsidP="00A364F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Only uses as herbicide may be authorised.</w:t>
            </w:r>
          </w:p>
          <w:p w14:paraId="238DC161" w14:textId="77777777" w:rsidR="00905454" w:rsidRPr="00636334" w:rsidRDefault="00905454" w:rsidP="00A364F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For the implementation of the uniform principles, as referred to in Article 29(6) of Regulation (EC) No 1107/2009, the conclusions of the re</w:t>
            </w:r>
            <w:r w:rsidR="00A42483">
              <w:rPr>
                <w:rFonts w:eastAsia="Times New Roman"/>
                <w:sz w:val="20"/>
                <w:szCs w:val="20"/>
                <w:lang w:eastAsia="en-GB"/>
              </w:rPr>
              <w:t>newal</w:t>
            </w:r>
            <w:r w:rsidRPr="00636334">
              <w:rPr>
                <w:rFonts w:eastAsia="Times New Roman"/>
                <w:sz w:val="20"/>
                <w:szCs w:val="20"/>
                <w:lang w:eastAsia="en-GB"/>
              </w:rPr>
              <w:t xml:space="preserve"> report on glyphosate, and in particular Appendices I and II thereof, shall be taken into account.</w:t>
            </w:r>
          </w:p>
          <w:p w14:paraId="10407B6F" w14:textId="77777777" w:rsidR="00905454" w:rsidRPr="00636334" w:rsidRDefault="00905454" w:rsidP="00A364F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In this overall assessment Member States shall pay particular attention to:</w:t>
            </w:r>
          </w:p>
          <w:p w14:paraId="14CC18F5" w14:textId="19EEE05E" w:rsidR="00636334" w:rsidRPr="00636334" w:rsidRDefault="007128D7" w:rsidP="00636334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4023BD">
              <w:rPr>
                <w:noProof/>
                <w:sz w:val="20"/>
                <w:szCs w:val="20"/>
              </w:rPr>
              <w:t>-</w:t>
            </w:r>
            <w:r w:rsidRPr="004023BD">
              <w:rPr>
                <w:noProof/>
                <w:sz w:val="20"/>
                <w:szCs w:val="20"/>
              </w:rPr>
              <w:tab/>
            </w:r>
            <w:r w:rsidR="00636334" w:rsidRPr="00636334">
              <w:rPr>
                <w:noProof/>
                <w:sz w:val="20"/>
                <w:szCs w:val="20"/>
              </w:rPr>
              <w:t>the co-formulants present in glyphosate-containing plant protection products</w:t>
            </w:r>
            <w:r w:rsidR="00D81C61">
              <w:rPr>
                <w:noProof/>
                <w:sz w:val="20"/>
                <w:szCs w:val="20"/>
              </w:rPr>
              <w:t xml:space="preserve">, </w:t>
            </w:r>
            <w:r w:rsidR="00037339" w:rsidRPr="00037339">
              <w:rPr>
                <w:rStyle w:val="normaltextrun"/>
                <w:sz w:val="20"/>
                <w:szCs w:val="20"/>
              </w:rPr>
              <w:t xml:space="preserve">taking into account in particular </w:t>
            </w:r>
            <w:r w:rsidR="0091570B" w:rsidRPr="00037339">
              <w:rPr>
                <w:noProof/>
                <w:sz w:val="20"/>
                <w:szCs w:val="20"/>
              </w:rPr>
              <w:t>the crit</w:t>
            </w:r>
            <w:r w:rsidR="009C25D1">
              <w:rPr>
                <w:noProof/>
                <w:sz w:val="20"/>
                <w:szCs w:val="20"/>
              </w:rPr>
              <w:t>eri</w:t>
            </w:r>
            <w:r w:rsidR="0091570B" w:rsidRPr="00037339">
              <w:rPr>
                <w:noProof/>
                <w:sz w:val="20"/>
                <w:szCs w:val="20"/>
              </w:rPr>
              <w:t>a for</w:t>
            </w:r>
            <w:r w:rsidR="0091570B" w:rsidRPr="00492F10">
              <w:rPr>
                <w:noProof/>
                <w:sz w:val="20"/>
                <w:szCs w:val="20"/>
              </w:rPr>
              <w:t xml:space="preserve"> identification of unacceptable co-formulants as set out in Commission Implementing Regulation (EU) 2023/574</w:t>
            </w:r>
            <w:r w:rsidR="00636334" w:rsidRPr="00636334">
              <w:rPr>
                <w:noProof/>
                <w:sz w:val="20"/>
                <w:szCs w:val="20"/>
              </w:rPr>
              <w:t>;</w:t>
            </w:r>
          </w:p>
          <w:p w14:paraId="74E63B5A" w14:textId="77777777" w:rsidR="00636334" w:rsidRPr="00636334" w:rsidRDefault="00636334" w:rsidP="00636334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>the consumer exposure assessment with regards to residues that may be present in succeeding crops grown in rotation;</w:t>
            </w:r>
          </w:p>
          <w:p w14:paraId="3F7FEF6B" w14:textId="7CD577B7" w:rsidR="00636334" w:rsidRPr="00636334" w:rsidRDefault="00636334" w:rsidP="00636334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 xml:space="preserve">the protection of groundwater that may be exposed via </w:t>
            </w:r>
            <w:r w:rsidRPr="00636334">
              <w:rPr>
                <w:sz w:val="20"/>
                <w:szCs w:val="20"/>
              </w:rPr>
              <w:t>bank infiltration and/or connectivity of surface water bodies to groundwater aquifers</w:t>
            </w:r>
            <w:r w:rsidR="00BD4967">
              <w:t xml:space="preserve"> </w:t>
            </w:r>
            <w:r w:rsidR="00BD4967" w:rsidRPr="00BD4967">
              <w:rPr>
                <w:sz w:val="20"/>
                <w:szCs w:val="20"/>
              </w:rPr>
              <w:t xml:space="preserve">and </w:t>
            </w:r>
            <w:bookmarkStart w:id="0" w:name="_Hlk144998534"/>
            <w:r w:rsidR="00BD4967" w:rsidRPr="00BD4967">
              <w:rPr>
                <w:sz w:val="20"/>
                <w:szCs w:val="20"/>
              </w:rPr>
              <w:t>the protection of surface waters, in particular those</w:t>
            </w:r>
            <w:r w:rsidR="00BD4967">
              <w:rPr>
                <w:sz w:val="20"/>
                <w:szCs w:val="20"/>
              </w:rPr>
              <w:t xml:space="preserve"> </w:t>
            </w:r>
            <w:r w:rsidR="00BD4967" w:rsidRPr="00BD4967">
              <w:rPr>
                <w:sz w:val="20"/>
                <w:szCs w:val="20"/>
              </w:rPr>
              <w:t>used for the abstraction of drinking water</w:t>
            </w:r>
            <w:bookmarkEnd w:id="0"/>
            <w:r w:rsidRPr="00636334">
              <w:rPr>
                <w:noProof/>
                <w:sz w:val="20"/>
                <w:szCs w:val="20"/>
              </w:rPr>
              <w:t>;</w:t>
            </w:r>
          </w:p>
          <w:p w14:paraId="2A10C24D" w14:textId="4BDD2553" w:rsidR="00636334" w:rsidRPr="006F56C7" w:rsidRDefault="00636334" w:rsidP="00636334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lastRenderedPageBreak/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 w:rsidRPr="00B64757">
              <w:rPr>
                <w:noProof/>
                <w:sz w:val="20"/>
                <w:szCs w:val="20"/>
              </w:rPr>
              <w:t>the</w:t>
            </w:r>
            <w:r w:rsidR="00FA1B09" w:rsidRPr="00B64757">
              <w:rPr>
                <w:noProof/>
                <w:sz w:val="20"/>
                <w:szCs w:val="20"/>
              </w:rPr>
              <w:t xml:space="preserve"> p</w:t>
            </w:r>
            <w:r w:rsidR="00B06E94" w:rsidRPr="00B64757">
              <w:rPr>
                <w:noProof/>
                <w:sz w:val="20"/>
                <w:szCs w:val="20"/>
              </w:rPr>
              <w:t>r</w:t>
            </w:r>
            <w:r w:rsidR="00FA1B09" w:rsidRPr="00B64757">
              <w:rPr>
                <w:noProof/>
                <w:sz w:val="20"/>
                <w:szCs w:val="20"/>
              </w:rPr>
              <w:t>ote</w:t>
            </w:r>
            <w:r w:rsidR="00B06E94" w:rsidRPr="00B64757">
              <w:rPr>
                <w:noProof/>
                <w:sz w:val="20"/>
                <w:szCs w:val="20"/>
              </w:rPr>
              <w:t xml:space="preserve">ction of </w:t>
            </w:r>
            <w:r w:rsidR="0091570B" w:rsidRPr="00B64757">
              <w:rPr>
                <w:noProof/>
                <w:sz w:val="20"/>
                <w:szCs w:val="20"/>
              </w:rPr>
              <w:t>small</w:t>
            </w:r>
            <w:r w:rsidR="0091570B" w:rsidRPr="00492F10">
              <w:rPr>
                <w:noProof/>
                <w:sz w:val="20"/>
                <w:szCs w:val="20"/>
              </w:rPr>
              <w:t xml:space="preserve"> herbivorous mammals</w:t>
            </w:r>
            <w:r w:rsidR="006F56C7" w:rsidRPr="0091570B">
              <w:rPr>
                <w:noProof/>
                <w:sz w:val="20"/>
                <w:szCs w:val="20"/>
              </w:rPr>
              <w:t xml:space="preserve">. </w:t>
            </w:r>
            <w:r w:rsidR="008F38B4">
              <w:rPr>
                <w:noProof/>
                <w:sz w:val="20"/>
                <w:szCs w:val="20"/>
              </w:rPr>
              <w:t>Member States</w:t>
            </w:r>
            <w:r w:rsidR="008F38B4" w:rsidRPr="0091570B">
              <w:rPr>
                <w:noProof/>
                <w:sz w:val="20"/>
                <w:szCs w:val="20"/>
              </w:rPr>
              <w:t xml:space="preserve"> </w:t>
            </w:r>
            <w:r w:rsidR="006F56C7" w:rsidRPr="0091570B">
              <w:rPr>
                <w:noProof/>
                <w:sz w:val="20"/>
                <w:szCs w:val="20"/>
              </w:rPr>
              <w:t>shall, w</w:t>
            </w:r>
            <w:r w:rsidR="0091570B" w:rsidRPr="0091570B">
              <w:rPr>
                <w:noProof/>
                <w:sz w:val="20"/>
                <w:szCs w:val="20"/>
              </w:rPr>
              <w:t>h</w:t>
            </w:r>
            <w:r w:rsidR="006F56C7" w:rsidRPr="0091570B">
              <w:rPr>
                <w:noProof/>
                <w:sz w:val="20"/>
                <w:szCs w:val="20"/>
              </w:rPr>
              <w:t>ere considered necessary</w:t>
            </w:r>
            <w:r w:rsidR="0091570B" w:rsidRPr="0091570B">
              <w:rPr>
                <w:noProof/>
                <w:sz w:val="20"/>
                <w:szCs w:val="20"/>
              </w:rPr>
              <w:t xml:space="preserve"> </w:t>
            </w:r>
            <w:r w:rsidR="0091570B" w:rsidRPr="00492F10">
              <w:rPr>
                <w:noProof/>
                <w:sz w:val="20"/>
                <w:szCs w:val="20"/>
              </w:rPr>
              <w:t xml:space="preserve">impose mitigation measures </w:t>
            </w:r>
            <w:bookmarkStart w:id="1" w:name="_Hlk144996802"/>
            <w:r w:rsidR="0091570B" w:rsidRPr="00492F10">
              <w:rPr>
                <w:noProof/>
                <w:sz w:val="20"/>
                <w:szCs w:val="20"/>
              </w:rPr>
              <w:t xml:space="preserve">such as limiting </w:t>
            </w:r>
            <w:r w:rsidR="00C264D4" w:rsidRPr="00BE7BAC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the timing of use, the number of applications or the maximum dose rate</w:t>
            </w:r>
            <w:bookmarkEnd w:id="1"/>
            <w:r w:rsidRPr="006F56C7">
              <w:rPr>
                <w:noProof/>
                <w:sz w:val="20"/>
                <w:szCs w:val="20"/>
              </w:rPr>
              <w:t xml:space="preserve">; </w:t>
            </w:r>
          </w:p>
          <w:p w14:paraId="5FFAC310" w14:textId="40ABE4A1" w:rsidR="00636334" w:rsidRPr="00636334" w:rsidRDefault="00636334" w:rsidP="00636334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 xml:space="preserve">the </w:t>
            </w:r>
            <w:r w:rsidR="00FA1B09">
              <w:rPr>
                <w:noProof/>
                <w:sz w:val="20"/>
                <w:szCs w:val="20"/>
              </w:rPr>
              <w:t>p</w:t>
            </w:r>
            <w:r w:rsidR="00B06E94">
              <w:rPr>
                <w:noProof/>
                <w:sz w:val="20"/>
                <w:szCs w:val="20"/>
              </w:rPr>
              <w:t xml:space="preserve">rotection of </w:t>
            </w:r>
            <w:r w:rsidRPr="00636334">
              <w:rPr>
                <w:noProof/>
                <w:sz w:val="20"/>
                <w:szCs w:val="20"/>
              </w:rPr>
              <w:t xml:space="preserve">non-target </w:t>
            </w:r>
            <w:r w:rsidR="005405C4">
              <w:rPr>
                <w:noProof/>
                <w:sz w:val="20"/>
                <w:szCs w:val="20"/>
              </w:rPr>
              <w:t>terrestrial and aquatic</w:t>
            </w:r>
            <w:r w:rsidR="005405C4" w:rsidRPr="00636334">
              <w:rPr>
                <w:noProof/>
                <w:sz w:val="20"/>
                <w:szCs w:val="20"/>
              </w:rPr>
              <w:t xml:space="preserve"> </w:t>
            </w:r>
            <w:r w:rsidRPr="00636334">
              <w:rPr>
                <w:noProof/>
                <w:sz w:val="20"/>
                <w:szCs w:val="20"/>
              </w:rPr>
              <w:t>plants from exposure by spray drift</w:t>
            </w:r>
            <w:r w:rsidR="00F900C6">
              <w:rPr>
                <w:noProof/>
                <w:sz w:val="20"/>
                <w:szCs w:val="20"/>
              </w:rPr>
              <w:t>;</w:t>
            </w:r>
            <w:r w:rsidR="00CA2FD2">
              <w:rPr>
                <w:noProof/>
                <w:sz w:val="20"/>
                <w:szCs w:val="20"/>
              </w:rPr>
              <w:t xml:space="preserve"> </w:t>
            </w:r>
          </w:p>
          <w:p w14:paraId="2D8D9A39" w14:textId="428216A2" w:rsidR="002B1471" w:rsidRDefault="00636334" w:rsidP="00E42F49">
            <w:pPr>
              <w:tabs>
                <w:tab w:val="left" w:pos="373"/>
              </w:tabs>
              <w:spacing w:before="40" w:after="40"/>
              <w:ind w:left="373" w:hanging="373"/>
              <w:rPr>
                <w:color w:val="00000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 w:rsidR="002B1471" w:rsidRPr="002B1471">
              <w:rPr>
                <w:noProof/>
                <w:sz w:val="20"/>
                <w:szCs w:val="20"/>
              </w:rPr>
              <w:t xml:space="preserve">indirect effects on biodiversity, via trophic interactions. </w:t>
            </w:r>
            <w:r w:rsidR="004170BF">
              <w:rPr>
                <w:noProof/>
                <w:sz w:val="20"/>
                <w:szCs w:val="20"/>
              </w:rPr>
              <w:t xml:space="preserve">Where Member States identify any such potential indirect effects on biodiversity, they </w:t>
            </w:r>
            <w:r w:rsidR="002B1471" w:rsidRPr="002B1471">
              <w:rPr>
                <w:color w:val="000000"/>
                <w:sz w:val="20"/>
                <w:szCs w:val="20"/>
              </w:rPr>
              <w:t xml:space="preserve">shall consider, when appropriate and taking into account their local agro-environmental conditions, whether </w:t>
            </w:r>
            <w:r w:rsidR="0056477C">
              <w:rPr>
                <w:color w:val="000000"/>
                <w:sz w:val="20"/>
                <w:szCs w:val="20"/>
              </w:rPr>
              <w:t xml:space="preserve">practical </w:t>
            </w:r>
            <w:r w:rsidR="002B1471" w:rsidRPr="002B1471">
              <w:rPr>
                <w:color w:val="000000"/>
                <w:sz w:val="20"/>
                <w:szCs w:val="20"/>
              </w:rPr>
              <w:t xml:space="preserve">alternative </w:t>
            </w:r>
            <w:bookmarkStart w:id="2" w:name="_Hlk144997611"/>
            <w:r w:rsidR="002B1471" w:rsidRPr="002B1471">
              <w:rPr>
                <w:color w:val="000000"/>
                <w:sz w:val="20"/>
                <w:szCs w:val="20"/>
              </w:rPr>
              <w:t xml:space="preserve">control or prevention </w:t>
            </w:r>
            <w:bookmarkEnd w:id="2"/>
            <w:r w:rsidR="002B1471" w:rsidRPr="002B1471">
              <w:rPr>
                <w:color w:val="000000"/>
                <w:sz w:val="20"/>
                <w:szCs w:val="20"/>
              </w:rPr>
              <w:t>methods with less impact on biodiversity are available</w:t>
            </w:r>
            <w:r w:rsidR="002A6588">
              <w:rPr>
                <w:color w:val="000000"/>
                <w:sz w:val="20"/>
                <w:szCs w:val="20"/>
              </w:rPr>
              <w:t xml:space="preserve">; </w:t>
            </w:r>
            <w:r w:rsidR="002B1471" w:rsidRPr="002B1471">
              <w:rPr>
                <w:color w:val="000000"/>
                <w:sz w:val="20"/>
                <w:szCs w:val="20"/>
              </w:rPr>
              <w:t xml:space="preserve">in such cases </w:t>
            </w:r>
            <w:r w:rsidR="002A6588">
              <w:rPr>
                <w:color w:val="000000"/>
                <w:sz w:val="20"/>
                <w:szCs w:val="20"/>
              </w:rPr>
              <w:t xml:space="preserve">Member States </w:t>
            </w:r>
            <w:r w:rsidR="002B1471" w:rsidRPr="002B1471">
              <w:rPr>
                <w:color w:val="000000"/>
                <w:sz w:val="20"/>
                <w:szCs w:val="20"/>
              </w:rPr>
              <w:t>may set specific conditions or restrictions of use for plant protection products containing glyphosate</w:t>
            </w:r>
            <w:r w:rsidR="00E42F49">
              <w:rPr>
                <w:color w:val="000000"/>
                <w:sz w:val="20"/>
                <w:szCs w:val="20"/>
              </w:rPr>
              <w:t>;</w:t>
            </w:r>
            <w:r w:rsidR="002B1471">
              <w:rPr>
                <w:color w:val="000000"/>
              </w:rPr>
              <w:t xml:space="preserve"> </w:t>
            </w:r>
          </w:p>
          <w:p w14:paraId="224B4F72" w14:textId="77777777" w:rsidR="00114B7D" w:rsidRDefault="003E7C3A" w:rsidP="00E42F49">
            <w:pPr>
              <w:tabs>
                <w:tab w:val="left" w:pos="373"/>
              </w:tabs>
              <w:spacing w:before="40" w:after="40"/>
              <w:ind w:left="373" w:hanging="350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 w:rsidR="005B5F1E">
              <w:rPr>
                <w:noProof/>
                <w:sz w:val="20"/>
                <w:szCs w:val="20"/>
              </w:rPr>
              <w:t xml:space="preserve">the assessment of </w:t>
            </w:r>
            <w:r w:rsidRPr="00636334">
              <w:rPr>
                <w:noProof/>
                <w:sz w:val="20"/>
                <w:szCs w:val="20"/>
              </w:rPr>
              <w:t>use</w:t>
            </w:r>
            <w:r w:rsidR="005B5F1E">
              <w:rPr>
                <w:noProof/>
                <w:sz w:val="20"/>
                <w:szCs w:val="20"/>
              </w:rPr>
              <w:t>s</w:t>
            </w:r>
            <w:r w:rsidRPr="00636334">
              <w:rPr>
                <w:noProof/>
                <w:sz w:val="20"/>
                <w:szCs w:val="20"/>
              </w:rPr>
              <w:t xml:space="preserve"> by non-professional</w:t>
            </w:r>
            <w:r>
              <w:rPr>
                <w:noProof/>
                <w:sz w:val="20"/>
                <w:szCs w:val="20"/>
              </w:rPr>
              <w:t xml:space="preserve"> user</w:t>
            </w:r>
            <w:r w:rsidRPr="00636334">
              <w:rPr>
                <w:noProof/>
                <w:sz w:val="20"/>
                <w:szCs w:val="20"/>
              </w:rPr>
              <w:t>s</w:t>
            </w:r>
            <w:r>
              <w:rPr>
                <w:noProof/>
                <w:sz w:val="20"/>
                <w:szCs w:val="20"/>
              </w:rPr>
              <w:t>;</w:t>
            </w:r>
          </w:p>
          <w:p w14:paraId="2C623847" w14:textId="554F28A3" w:rsidR="00636334" w:rsidRDefault="00E42F49" w:rsidP="00E42F49">
            <w:pPr>
              <w:tabs>
                <w:tab w:val="left" w:pos="373"/>
              </w:tabs>
              <w:spacing w:before="40" w:after="40"/>
              <w:ind w:left="373" w:hanging="35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   </w:t>
            </w:r>
            <w:r w:rsidRPr="00636334">
              <w:rPr>
                <w:noProof/>
                <w:sz w:val="20"/>
                <w:szCs w:val="20"/>
              </w:rPr>
              <w:t xml:space="preserve">compliance of pre-harvest uses with </w:t>
            </w:r>
            <w:r w:rsidR="00E63F09">
              <w:rPr>
                <w:noProof/>
                <w:sz w:val="20"/>
                <w:szCs w:val="20"/>
              </w:rPr>
              <w:t xml:space="preserve">the </w:t>
            </w:r>
            <w:r w:rsidR="00E63F09" w:rsidRPr="00E63F09">
              <w:rPr>
                <w:noProof/>
                <w:sz w:val="20"/>
                <w:szCs w:val="20"/>
              </w:rPr>
              <w:t xml:space="preserve">provisions of </w:t>
            </w:r>
            <w:r w:rsidR="004170BF" w:rsidRPr="002839E3">
              <w:rPr>
                <w:noProof/>
                <w:sz w:val="20"/>
                <w:szCs w:val="20"/>
              </w:rPr>
              <w:t xml:space="preserve">Directive 2009/128/EC in conjunction with </w:t>
            </w:r>
            <w:r w:rsidR="00E63F09" w:rsidRPr="00E63F09">
              <w:rPr>
                <w:noProof/>
                <w:sz w:val="20"/>
                <w:szCs w:val="20"/>
              </w:rPr>
              <w:t>Article 55 of Regulation (EC) No 1107/2009</w:t>
            </w:r>
            <w:r>
              <w:rPr>
                <w:noProof/>
                <w:sz w:val="20"/>
                <w:szCs w:val="20"/>
              </w:rPr>
              <w:t>.</w:t>
            </w:r>
            <w:r w:rsidR="000E223C">
              <w:rPr>
                <w:noProof/>
                <w:sz w:val="20"/>
                <w:szCs w:val="20"/>
              </w:rPr>
              <w:t xml:space="preserve"> </w:t>
            </w:r>
            <w:r w:rsidR="000E223C" w:rsidRPr="000E223C">
              <w:rPr>
                <w:sz w:val="20"/>
                <w:szCs w:val="20"/>
              </w:rPr>
              <w:t>Use</w:t>
            </w:r>
            <w:r w:rsidR="00F53800">
              <w:rPr>
                <w:sz w:val="20"/>
                <w:szCs w:val="20"/>
              </w:rPr>
              <w:t>s</w:t>
            </w:r>
            <w:r w:rsidR="000E223C" w:rsidRPr="000E223C">
              <w:rPr>
                <w:sz w:val="20"/>
                <w:szCs w:val="20"/>
              </w:rPr>
              <w:t xml:space="preserve"> for desiccation shall not be authorised.</w:t>
            </w:r>
          </w:p>
          <w:p w14:paraId="22469D04" w14:textId="71BA24CA" w:rsidR="005B3F95" w:rsidRDefault="006D62B3" w:rsidP="00047732">
            <w:pPr>
              <w:rPr>
                <w:noProof/>
                <w:sz w:val="20"/>
                <w:szCs w:val="20"/>
              </w:rPr>
            </w:pPr>
            <w:r w:rsidRPr="00636334">
              <w:rPr>
                <w:spacing w:val="-3"/>
                <w:sz w:val="20"/>
                <w:szCs w:val="20"/>
              </w:rPr>
              <w:t>Conditions of use shall include risk mitigation measures, including combinations thereof, as required</w:t>
            </w:r>
            <w:r w:rsidRPr="00636334">
              <w:rPr>
                <w:noProof/>
                <w:sz w:val="20"/>
                <w:szCs w:val="20"/>
              </w:rPr>
              <w:t>.</w:t>
            </w:r>
            <w:r w:rsidR="00302F74">
              <w:rPr>
                <w:noProof/>
                <w:sz w:val="20"/>
                <w:szCs w:val="20"/>
              </w:rPr>
              <w:t xml:space="preserve"> </w:t>
            </w:r>
            <w:r w:rsidR="00EA6386">
              <w:rPr>
                <w:noProof/>
                <w:sz w:val="20"/>
                <w:szCs w:val="20"/>
              </w:rPr>
              <w:t xml:space="preserve">In particular, </w:t>
            </w:r>
            <w:r w:rsidR="002A6588">
              <w:rPr>
                <w:noProof/>
                <w:sz w:val="20"/>
                <w:szCs w:val="20"/>
              </w:rPr>
              <w:t xml:space="preserve">drift from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spray applications made by professional</w:t>
            </w:r>
            <w:r w:rsid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users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in agricultural fields shall be reduced</w:t>
            </w:r>
            <w:r w:rsid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.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By default</w:t>
            </w:r>
            <w:r w:rsidR="00902E9D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="00EA6386" w:rsidRPr="00EA6386">
              <w:rPr>
                <w:sz w:val="20"/>
                <w:szCs w:val="20"/>
              </w:rPr>
              <w:t>an in-field non-sprayed buffer strip of at least 5 to 10 m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="002A6588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and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drift reduction nozzles </w:t>
            </w:r>
            <w:r w:rsidR="002A6588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reducing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spray drift by at least 75% shall be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 xml:space="preserve">required, </w:t>
            </w:r>
            <w:bookmarkStart w:id="3" w:name="_Hlk145001806"/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unless the outcome of the risk assessment undertaken for </w:t>
            </w:r>
            <w:r w:rsidR="009E25A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a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specific </w:t>
            </w:r>
            <w:r w:rsidR="002A6588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plant protection product </w:t>
            </w:r>
            <w:r w:rsidR="00EA6386"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use </w:t>
            </w:r>
            <w:r w:rsidR="002A6588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indicates that such risk mitigation is not needed or can be lowered because there are no unacceptable risks </w:t>
            </w:r>
            <w:r w:rsidR="00BC00A4" w:rsidRPr="00BC00A4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</w:t>
            </w:r>
            <w:r w:rsidR="00BC00A4" w:rsidRPr="0033674D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used by</w:t>
            </w:r>
            <w:r w:rsidR="002A6588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spray drift.</w:t>
            </w:r>
            <w:bookmarkEnd w:id="3"/>
            <w:r w:rsidR="002A6588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  <w:p w14:paraId="4F15BEC7" w14:textId="590CA605" w:rsidR="00B15502" w:rsidRPr="00B15502" w:rsidRDefault="00302F74" w:rsidP="0004773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 addition</w:t>
            </w:r>
            <w:r w:rsidR="00B15502" w:rsidRPr="00302F74">
              <w:rPr>
                <w:sz w:val="20"/>
                <w:szCs w:val="20"/>
              </w:rPr>
              <w:t xml:space="preserve">, Member States </w:t>
            </w:r>
            <w:r>
              <w:rPr>
                <w:sz w:val="20"/>
                <w:szCs w:val="20"/>
              </w:rPr>
              <w:t xml:space="preserve">may </w:t>
            </w:r>
            <w:r w:rsidR="00B15502" w:rsidRPr="00302F74">
              <w:rPr>
                <w:sz w:val="20"/>
                <w:szCs w:val="20"/>
              </w:rPr>
              <w:t>set monitoring requirements when granting authorisations, in order to complement the monitoring under Directives 2000/60/EC</w:t>
            </w:r>
            <w:r w:rsidR="00B15502">
              <w:rPr>
                <w:rStyle w:val="FootnoteReference"/>
                <w:sz w:val="20"/>
                <w:szCs w:val="20"/>
              </w:rPr>
              <w:footnoteReference w:id="2"/>
            </w:r>
            <w:r w:rsidR="00B15502" w:rsidRPr="00302F74">
              <w:rPr>
                <w:sz w:val="20"/>
                <w:szCs w:val="20"/>
              </w:rPr>
              <w:t xml:space="preserve"> and 2009/128/EC.</w:t>
            </w:r>
          </w:p>
          <w:p w14:paraId="1044C0F9" w14:textId="0AF9C5A8" w:rsidR="00636334" w:rsidRDefault="00905454" w:rsidP="00016779">
            <w:pPr>
              <w:tabs>
                <w:tab w:val="left" w:pos="4771"/>
              </w:tabs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 xml:space="preserve">Member States shall ensure that use of plant protection products containing glyphosate is minimised </w:t>
            </w:r>
            <w:r w:rsidR="00AD0A2B">
              <w:rPr>
                <w:rFonts w:eastAsia="Times New Roman"/>
                <w:sz w:val="20"/>
                <w:szCs w:val="20"/>
                <w:lang w:eastAsia="en-GB"/>
              </w:rPr>
              <w:t xml:space="preserve">or prohibited </w:t>
            </w: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in the specific areas listed in Article 12(a) of Directive 2009/128/EC</w:t>
            </w:r>
            <w:r w:rsidR="009E25A6">
              <w:rPr>
                <w:rFonts w:eastAsia="Times New Roman"/>
                <w:sz w:val="20"/>
                <w:szCs w:val="20"/>
                <w:lang w:eastAsia="en-GB"/>
              </w:rPr>
              <w:t xml:space="preserve">. </w:t>
            </w:r>
          </w:p>
          <w:p w14:paraId="38ABBA6B" w14:textId="467EB8B3" w:rsidR="00BC37EF" w:rsidRPr="00BC37EF" w:rsidRDefault="00BC37EF" w:rsidP="00B15502">
            <w:pPr>
              <w:tabs>
                <w:tab w:val="left" w:pos="-720"/>
              </w:tabs>
              <w:suppressAutoHyphens/>
              <w:rPr>
                <w:i/>
                <w:sz w:val="20"/>
                <w:szCs w:val="20"/>
                <w:highlight w:val="cyan"/>
              </w:rPr>
            </w:pPr>
            <w:r w:rsidRPr="00B15502">
              <w:rPr>
                <w:spacing w:val="-3"/>
                <w:sz w:val="20"/>
                <w:szCs w:val="20"/>
              </w:rPr>
              <w:t xml:space="preserve">The applicant shall submit to the Commission, the Member States and the Authority confirmatory information as regards </w:t>
            </w:r>
            <w:r w:rsidRPr="00B15502">
              <w:rPr>
                <w:sz w:val="20"/>
                <w:szCs w:val="20"/>
              </w:rPr>
              <w:t xml:space="preserve">the potential </w:t>
            </w:r>
            <w:r w:rsidR="00732DDE">
              <w:rPr>
                <w:sz w:val="20"/>
                <w:szCs w:val="20"/>
              </w:rPr>
              <w:t>indirect effects on</w:t>
            </w:r>
            <w:r w:rsidRPr="00B15502">
              <w:rPr>
                <w:sz w:val="20"/>
                <w:szCs w:val="20"/>
              </w:rPr>
              <w:t xml:space="preserve"> biodiversity via trophic interactions</w:t>
            </w:r>
            <w:r w:rsidRPr="00B15502">
              <w:rPr>
                <w:color w:val="000000"/>
                <w:sz w:val="20"/>
                <w:szCs w:val="20"/>
              </w:rPr>
              <w:t>,</w:t>
            </w:r>
            <w:r w:rsidRPr="00B15502">
              <w:rPr>
                <w:sz w:val="20"/>
                <w:szCs w:val="20"/>
              </w:rPr>
              <w:t xml:space="preserve"> within three years from the date of applicability of a </w:t>
            </w:r>
            <w:r w:rsidR="000F3E35">
              <w:rPr>
                <w:sz w:val="20"/>
                <w:szCs w:val="20"/>
              </w:rPr>
              <w:t>relevant</w:t>
            </w:r>
            <w:r w:rsidR="000F3E35" w:rsidRPr="00B15502">
              <w:rPr>
                <w:sz w:val="20"/>
                <w:szCs w:val="20"/>
              </w:rPr>
              <w:t xml:space="preserve"> </w:t>
            </w:r>
            <w:r w:rsidRPr="00B15502">
              <w:rPr>
                <w:sz w:val="20"/>
                <w:szCs w:val="20"/>
              </w:rPr>
              <w:t>guidance document endorsed by the Standing Committee on Plants, Animals, Food and Feed.</w:t>
            </w:r>
          </w:p>
        </w:tc>
      </w:tr>
      <w:tr w:rsidR="00B64757" w:rsidRPr="00BF0C05" w14:paraId="7863A57B" w14:textId="77777777" w:rsidTr="00371564">
        <w:tc>
          <w:tcPr>
            <w:tcW w:w="0" w:type="auto"/>
          </w:tcPr>
          <w:p w14:paraId="49BB4E69" w14:textId="77777777" w:rsidR="003A6500" w:rsidRDefault="003A6500" w:rsidP="00C41A2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BBFD85" w14:textId="77777777" w:rsidR="003A6500" w:rsidRPr="003A6500" w:rsidRDefault="003A6500" w:rsidP="0071760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3F995F6" w14:textId="77777777" w:rsidR="003A6500" w:rsidRPr="00F21403" w:rsidRDefault="003A6500" w:rsidP="0071760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8FAAC25" w14:textId="77777777" w:rsidR="003A6500" w:rsidRDefault="003A6500" w:rsidP="00717608">
            <w:pPr>
              <w:tabs>
                <w:tab w:val="left" w:pos="318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3AB06F7" w14:textId="77777777" w:rsidR="003A6500" w:rsidRDefault="003A6500" w:rsidP="0015721B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</w:tcPr>
          <w:p w14:paraId="033737C8" w14:textId="77777777" w:rsidR="003A6500" w:rsidRPr="00C51654" w:rsidRDefault="003A6500" w:rsidP="00717608">
            <w:pPr>
              <w:tabs>
                <w:tab w:val="left" w:pos="318"/>
              </w:tabs>
              <w:spacing w:before="40" w:after="40"/>
              <w:rPr>
                <w:sz w:val="20"/>
                <w:szCs w:val="20"/>
              </w:rPr>
            </w:pPr>
          </w:p>
        </w:tc>
      </w:tr>
    </w:tbl>
    <w:p w14:paraId="21D057E0" w14:textId="77777777" w:rsidR="0057332C" w:rsidRDefault="0057332C" w:rsidP="0057332C">
      <w:pPr>
        <w:sectPr w:rsidR="0057332C" w:rsidSect="00866FA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6839" w:h="11907" w:orient="landscape"/>
          <w:pgMar w:top="1417" w:right="1134" w:bottom="1417" w:left="1134" w:header="709" w:footer="709" w:gutter="0"/>
          <w:cols w:space="708"/>
          <w:docGrid w:linePitch="360"/>
        </w:sectPr>
      </w:pPr>
    </w:p>
    <w:p w14:paraId="50C7DE0D" w14:textId="77777777" w:rsidR="0057332C" w:rsidRPr="00336EC4" w:rsidRDefault="0057332C" w:rsidP="0057332C">
      <w:pPr>
        <w:pStyle w:val="Annexetitre"/>
      </w:pPr>
      <w:r w:rsidRPr="00A10DFF">
        <w:lastRenderedPageBreak/>
        <w:t xml:space="preserve">ANNEX </w:t>
      </w:r>
      <w:r w:rsidR="00FD6F93" w:rsidRPr="00336EC4">
        <w:t>II</w:t>
      </w:r>
    </w:p>
    <w:p w14:paraId="1E9E82F9" w14:textId="77777777" w:rsidR="001571FC" w:rsidRPr="00A10DFF" w:rsidRDefault="001571FC" w:rsidP="001571FC">
      <w:pPr>
        <w:jc w:val="center"/>
        <w:rPr>
          <w:b/>
          <w:bCs/>
          <w:szCs w:val="20"/>
          <w:u w:val="single"/>
          <w:lang w:eastAsia="en-GB"/>
        </w:rPr>
      </w:pPr>
    </w:p>
    <w:p w14:paraId="421353AA" w14:textId="77777777" w:rsidR="00D91646" w:rsidRDefault="00D91646" w:rsidP="00D91646">
      <w:pPr>
        <w:spacing w:before="0" w:after="0"/>
        <w:rPr>
          <w:szCs w:val="20"/>
          <w:lang w:eastAsia="en-GB"/>
        </w:rPr>
      </w:pPr>
      <w:r>
        <w:rPr>
          <w:szCs w:val="20"/>
          <w:lang w:eastAsia="en-GB"/>
        </w:rPr>
        <w:t>T</w:t>
      </w:r>
      <w:r w:rsidRPr="00E321A7">
        <w:rPr>
          <w:szCs w:val="20"/>
          <w:lang w:eastAsia="en-GB"/>
        </w:rPr>
        <w:t xml:space="preserve">he Annex to </w:t>
      </w:r>
      <w:r>
        <w:rPr>
          <w:szCs w:val="20"/>
          <w:lang w:eastAsia="en-GB"/>
        </w:rPr>
        <w:t xml:space="preserve">Commission </w:t>
      </w:r>
      <w:r w:rsidRPr="00E321A7">
        <w:rPr>
          <w:szCs w:val="20"/>
          <w:lang w:eastAsia="en-GB"/>
        </w:rPr>
        <w:t>Implementing Regulation (EU) No 540/2011</w:t>
      </w:r>
      <w:r>
        <w:rPr>
          <w:szCs w:val="20"/>
          <w:lang w:eastAsia="en-GB"/>
        </w:rPr>
        <w:t xml:space="preserve"> is amended as follows:</w:t>
      </w:r>
    </w:p>
    <w:p w14:paraId="7A7D65FD" w14:textId="77777777" w:rsidR="00D91646" w:rsidRDefault="00D91646" w:rsidP="00D91646">
      <w:pPr>
        <w:spacing w:before="0" w:after="0"/>
        <w:rPr>
          <w:szCs w:val="20"/>
          <w:lang w:eastAsia="en-GB"/>
        </w:rPr>
      </w:pPr>
    </w:p>
    <w:p w14:paraId="37BE94D2" w14:textId="77777777" w:rsidR="00D91646" w:rsidRDefault="00622F3D" w:rsidP="00D91646">
      <w:pPr>
        <w:spacing w:before="0" w:after="0"/>
        <w:rPr>
          <w:szCs w:val="20"/>
          <w:lang w:eastAsia="en-GB"/>
        </w:rPr>
      </w:pPr>
      <w:r>
        <w:rPr>
          <w:szCs w:val="20"/>
          <w:lang w:eastAsia="en-GB"/>
        </w:rPr>
        <w:t>I</w:t>
      </w:r>
      <w:r w:rsidR="00D91646">
        <w:rPr>
          <w:szCs w:val="20"/>
          <w:lang w:eastAsia="en-GB"/>
        </w:rPr>
        <w:t xml:space="preserve">n Part </w:t>
      </w:r>
      <w:r w:rsidR="00A10DFF">
        <w:rPr>
          <w:szCs w:val="20"/>
          <w:lang w:eastAsia="en-GB"/>
        </w:rPr>
        <w:t>B</w:t>
      </w:r>
      <w:r w:rsidR="00D91646" w:rsidRPr="00227EFE">
        <w:rPr>
          <w:szCs w:val="20"/>
          <w:lang w:eastAsia="en-GB"/>
        </w:rPr>
        <w:t>,</w:t>
      </w:r>
      <w:r w:rsidR="00D91646" w:rsidRPr="00E321A7">
        <w:rPr>
          <w:szCs w:val="20"/>
          <w:lang w:eastAsia="en-GB"/>
        </w:rPr>
        <w:t xml:space="preserve"> entry </w:t>
      </w:r>
      <w:r w:rsidR="00A10DFF">
        <w:rPr>
          <w:szCs w:val="20"/>
          <w:lang w:eastAsia="en-GB"/>
        </w:rPr>
        <w:t>118</w:t>
      </w:r>
      <w:r w:rsidR="00D91646">
        <w:rPr>
          <w:szCs w:val="24"/>
          <w:lang w:eastAsia="en-GB"/>
        </w:rPr>
        <w:t xml:space="preserve"> on </w:t>
      </w:r>
      <w:r>
        <w:rPr>
          <w:szCs w:val="24"/>
          <w:lang w:eastAsia="en-GB"/>
        </w:rPr>
        <w:t>g</w:t>
      </w:r>
      <w:r w:rsidRPr="00A10DFF">
        <w:rPr>
          <w:szCs w:val="24"/>
          <w:lang w:eastAsia="en-GB"/>
        </w:rPr>
        <w:t>lyphosate</w:t>
      </w:r>
      <w:r>
        <w:rPr>
          <w:szCs w:val="20"/>
          <w:lang w:eastAsia="en-GB"/>
        </w:rPr>
        <w:t xml:space="preserve"> </w:t>
      </w:r>
      <w:r w:rsidR="00D91646" w:rsidRPr="00E321A7">
        <w:rPr>
          <w:szCs w:val="20"/>
          <w:lang w:eastAsia="en-GB"/>
        </w:rPr>
        <w:t xml:space="preserve">is </w:t>
      </w:r>
      <w:r w:rsidR="00A10DFF">
        <w:rPr>
          <w:szCs w:val="20"/>
          <w:lang w:eastAsia="en-GB"/>
        </w:rPr>
        <w:t>substituted with the following:</w:t>
      </w:r>
    </w:p>
    <w:p w14:paraId="25600426" w14:textId="77777777" w:rsidR="001571FC" w:rsidRPr="00FA392B" w:rsidRDefault="001571FC" w:rsidP="001571FC">
      <w:pPr>
        <w:pStyle w:val="Point0"/>
        <w:rPr>
          <w:b/>
          <w:noProof/>
          <w:szCs w:val="20"/>
          <w:lang w:eastAsia="en-GB"/>
        </w:rPr>
      </w:pPr>
    </w:p>
    <w:tbl>
      <w:tblPr>
        <w:tblW w:w="15120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789"/>
        <w:gridCol w:w="1440"/>
        <w:gridCol w:w="1680"/>
        <w:gridCol w:w="1800"/>
        <w:gridCol w:w="1920"/>
        <w:gridCol w:w="5640"/>
      </w:tblGrid>
      <w:tr w:rsidR="001571FC" w:rsidRPr="00BF0C05" w14:paraId="275E996F" w14:textId="77777777" w:rsidTr="00371564">
        <w:trPr>
          <w:cantSplit/>
          <w:tblHeader/>
        </w:trPr>
        <w:tc>
          <w:tcPr>
            <w:tcW w:w="851" w:type="dxa"/>
            <w:vAlign w:val="center"/>
          </w:tcPr>
          <w:p w14:paraId="6F8BE0B2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  <w:tc>
          <w:tcPr>
            <w:tcW w:w="1789" w:type="dxa"/>
            <w:vAlign w:val="center"/>
          </w:tcPr>
          <w:p w14:paraId="64380406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Common Name,</w:t>
            </w:r>
            <w:r w:rsidRPr="00BF0C05">
              <w:rPr>
                <w:b/>
                <w:noProof/>
                <w:sz w:val="20"/>
                <w:szCs w:val="20"/>
              </w:rPr>
              <w:br/>
              <w:t>Identification Numbers</w:t>
            </w:r>
          </w:p>
        </w:tc>
        <w:tc>
          <w:tcPr>
            <w:tcW w:w="1440" w:type="dxa"/>
            <w:vAlign w:val="center"/>
          </w:tcPr>
          <w:p w14:paraId="53FF41A8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IUPAC Name</w:t>
            </w:r>
          </w:p>
        </w:tc>
        <w:tc>
          <w:tcPr>
            <w:tcW w:w="1680" w:type="dxa"/>
            <w:vAlign w:val="center"/>
          </w:tcPr>
          <w:p w14:paraId="02869DF4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Purity</w:t>
            </w:r>
            <w:r w:rsidRPr="006D12EB">
              <w:rPr>
                <w:rStyle w:val="FootnoteReference"/>
                <w:b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1800" w:type="dxa"/>
            <w:vAlign w:val="center"/>
          </w:tcPr>
          <w:p w14:paraId="01665DE8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Date of approval</w:t>
            </w:r>
          </w:p>
        </w:tc>
        <w:tc>
          <w:tcPr>
            <w:tcW w:w="1920" w:type="dxa"/>
            <w:vAlign w:val="center"/>
          </w:tcPr>
          <w:p w14:paraId="4F2D2C9A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Expiration of approval</w:t>
            </w:r>
          </w:p>
        </w:tc>
        <w:tc>
          <w:tcPr>
            <w:tcW w:w="5640" w:type="dxa"/>
            <w:vAlign w:val="center"/>
          </w:tcPr>
          <w:p w14:paraId="1314FDF0" w14:textId="77777777" w:rsidR="001571FC" w:rsidRPr="00BF0C05" w:rsidRDefault="001571FC" w:rsidP="00F41F07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Specific provisions</w:t>
            </w:r>
          </w:p>
        </w:tc>
      </w:tr>
      <w:tr w:rsidR="00D115AF" w:rsidRPr="00D07519" w14:paraId="74E952AF" w14:textId="77777777" w:rsidTr="00371564">
        <w:tc>
          <w:tcPr>
            <w:tcW w:w="851" w:type="dxa"/>
          </w:tcPr>
          <w:p w14:paraId="73310878" w14:textId="77777777" w:rsidR="00D115AF" w:rsidRPr="00D3659F" w:rsidRDefault="00D115AF" w:rsidP="00D115AF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“118</w:t>
            </w:r>
          </w:p>
        </w:tc>
        <w:tc>
          <w:tcPr>
            <w:tcW w:w="1789" w:type="dxa"/>
          </w:tcPr>
          <w:p w14:paraId="3B1ED8EF" w14:textId="77777777" w:rsidR="00D115AF" w:rsidRPr="000F6443" w:rsidRDefault="00D115AF" w:rsidP="00D115AF">
            <w:pPr>
              <w:spacing w:before="40" w:after="40"/>
              <w:jc w:val="left"/>
              <w:rPr>
                <w:sz w:val="20"/>
                <w:szCs w:val="20"/>
                <w:lang w:val="es-419"/>
              </w:rPr>
            </w:pPr>
            <w:r w:rsidRPr="000F6443">
              <w:rPr>
                <w:sz w:val="20"/>
                <w:szCs w:val="20"/>
                <w:lang w:val="es-419"/>
              </w:rPr>
              <w:t>Glyphosate</w:t>
            </w:r>
          </w:p>
          <w:p w14:paraId="29750DAF" w14:textId="77777777" w:rsidR="00D115AF" w:rsidRPr="000F6443" w:rsidRDefault="00D115AF" w:rsidP="00D115AF">
            <w:pPr>
              <w:spacing w:before="40" w:after="40"/>
              <w:jc w:val="left"/>
              <w:rPr>
                <w:sz w:val="20"/>
                <w:szCs w:val="20"/>
                <w:lang w:val="es-419"/>
              </w:rPr>
            </w:pPr>
            <w:r w:rsidRPr="000F6443">
              <w:rPr>
                <w:sz w:val="20"/>
                <w:szCs w:val="20"/>
                <w:lang w:val="es-419"/>
              </w:rPr>
              <w:t>CAS No: 1071-83-6</w:t>
            </w:r>
          </w:p>
          <w:p w14:paraId="0A9AC9A5" w14:textId="77777777" w:rsidR="00D115AF" w:rsidRPr="009042F1" w:rsidRDefault="00D115AF" w:rsidP="00D115AF">
            <w:pPr>
              <w:spacing w:before="40" w:after="40"/>
              <w:jc w:val="left"/>
              <w:rPr>
                <w:i/>
                <w:noProof/>
                <w:sz w:val="20"/>
                <w:szCs w:val="20"/>
                <w:lang w:val="es-ES"/>
              </w:rPr>
            </w:pPr>
            <w:r w:rsidRPr="000F6443">
              <w:rPr>
                <w:sz w:val="20"/>
                <w:szCs w:val="20"/>
                <w:lang w:val="es-419"/>
              </w:rPr>
              <w:t>CIPAC No: 284</w:t>
            </w:r>
          </w:p>
        </w:tc>
        <w:tc>
          <w:tcPr>
            <w:tcW w:w="1440" w:type="dxa"/>
          </w:tcPr>
          <w:p w14:paraId="6F3674F6" w14:textId="77777777" w:rsidR="00D115AF" w:rsidRPr="003A6500" w:rsidRDefault="00D115AF" w:rsidP="00D115AF">
            <w:pPr>
              <w:spacing w:before="0" w:after="0"/>
              <w:rPr>
                <w:noProof/>
                <w:sz w:val="20"/>
                <w:szCs w:val="20"/>
              </w:rPr>
            </w:pPr>
            <w:r w:rsidRPr="00A10DFF">
              <w:rPr>
                <w:noProof/>
                <w:sz w:val="20"/>
                <w:szCs w:val="20"/>
              </w:rPr>
              <w:t>N-(phosphonomethyl)glycine</w:t>
            </w:r>
          </w:p>
        </w:tc>
        <w:tc>
          <w:tcPr>
            <w:tcW w:w="1680" w:type="dxa"/>
          </w:tcPr>
          <w:p w14:paraId="17320026" w14:textId="77777777" w:rsidR="00D115AF" w:rsidRDefault="00D115AF" w:rsidP="00D115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7128D7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950</w:t>
            </w:r>
            <w:r w:rsidRPr="00F21403">
              <w:rPr>
                <w:sz w:val="20"/>
                <w:szCs w:val="20"/>
              </w:rPr>
              <w:t> g/kg</w:t>
            </w:r>
          </w:p>
          <w:p w14:paraId="743C722A" w14:textId="77777777" w:rsidR="00D115AF" w:rsidRPr="00A63EC8" w:rsidRDefault="00D115AF" w:rsidP="00D115AF">
            <w:pPr>
              <w:spacing w:before="40" w:after="40" w:line="276" w:lineRule="auto"/>
              <w:rPr>
                <w:noProof/>
                <w:sz w:val="20"/>
                <w:szCs w:val="20"/>
                <w:highlight w:val="cyan"/>
                <w:lang w:val="en-US"/>
              </w:rPr>
            </w:pPr>
          </w:p>
          <w:p w14:paraId="4DF4B695" w14:textId="77777777" w:rsidR="00D115AF" w:rsidRPr="007128D7" w:rsidRDefault="00D115AF" w:rsidP="00D115AF">
            <w:pPr>
              <w:spacing w:before="40" w:after="40" w:line="276" w:lineRule="auto"/>
              <w:rPr>
                <w:noProof/>
                <w:sz w:val="20"/>
                <w:szCs w:val="20"/>
                <w:lang w:val="en-US"/>
              </w:rPr>
            </w:pPr>
            <w:r w:rsidRPr="007128D7">
              <w:rPr>
                <w:noProof/>
                <w:sz w:val="20"/>
                <w:szCs w:val="20"/>
                <w:lang w:val="en-US"/>
              </w:rPr>
              <w:t>The following impurities are of toxicological concern and shall not exceed the following levels in the technical material:</w:t>
            </w:r>
          </w:p>
          <w:p w14:paraId="400D5FC0" w14:textId="77777777" w:rsidR="00D115AF" w:rsidRPr="00A63EC8" w:rsidRDefault="00D115AF" w:rsidP="00D115AF">
            <w:pPr>
              <w:spacing w:before="40" w:after="40" w:line="276" w:lineRule="auto"/>
              <w:jc w:val="left"/>
              <w:rPr>
                <w:noProof/>
                <w:sz w:val="20"/>
                <w:szCs w:val="20"/>
                <w:highlight w:val="cyan"/>
                <w:lang w:val="en-US"/>
              </w:rPr>
            </w:pPr>
          </w:p>
          <w:p w14:paraId="5C1F189F" w14:textId="77777777" w:rsidR="00D115AF" w:rsidRPr="003B20E0" w:rsidRDefault="00D115AF" w:rsidP="00D115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 xml:space="preserve">- </w:t>
            </w:r>
            <w:r w:rsidRPr="003B20E0">
              <w:rPr>
                <w:i/>
                <w:iCs/>
                <w:sz w:val="20"/>
                <w:szCs w:val="20"/>
                <w:lang w:val="it-IT"/>
              </w:rPr>
              <w:t>N</w:t>
            </w:r>
            <w:r w:rsidRPr="003B20E0">
              <w:rPr>
                <w:sz w:val="20"/>
                <w:szCs w:val="20"/>
                <w:lang w:val="it-IT"/>
              </w:rPr>
              <w:t>-nitroso-glyphosate (NNG): &lt; 1 mg/kg</w:t>
            </w:r>
          </w:p>
          <w:p w14:paraId="30007DBB" w14:textId="77777777" w:rsidR="00D115AF" w:rsidRPr="003B20E0" w:rsidRDefault="00D115AF" w:rsidP="00D115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>- formaldehyde: &lt; 1 g/kg</w:t>
            </w:r>
          </w:p>
          <w:p w14:paraId="1DE42CFA" w14:textId="77777777" w:rsidR="00D115AF" w:rsidRPr="003B20E0" w:rsidRDefault="00D115AF" w:rsidP="00D115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t>- trimethylamine: ≤ 2g/kg</w:t>
            </w:r>
          </w:p>
          <w:p w14:paraId="559E3595" w14:textId="77777777" w:rsidR="00D115AF" w:rsidRDefault="00D115AF" w:rsidP="00D115AF">
            <w:pPr>
              <w:spacing w:before="40" w:after="40" w:line="276" w:lineRule="auto"/>
              <w:jc w:val="left"/>
              <w:rPr>
                <w:sz w:val="20"/>
                <w:szCs w:val="20"/>
                <w:lang w:val="it-IT"/>
              </w:rPr>
            </w:pPr>
            <w:r w:rsidRPr="003B20E0">
              <w:rPr>
                <w:sz w:val="20"/>
                <w:szCs w:val="20"/>
                <w:lang w:val="it-IT"/>
              </w:rPr>
              <w:lastRenderedPageBreak/>
              <w:t>- formic acid: ≤ 4 g/kg</w:t>
            </w:r>
          </w:p>
          <w:p w14:paraId="317A68E6" w14:textId="77777777" w:rsidR="00D115AF" w:rsidRPr="00AE78C6" w:rsidRDefault="00D115AF" w:rsidP="00D115AF">
            <w:pPr>
              <w:spacing w:before="40" w:after="40"/>
              <w:jc w:val="left"/>
              <w:rPr>
                <w:noProof/>
                <w:sz w:val="20"/>
                <w:szCs w:val="20"/>
                <w:lang w:val="it-IT"/>
              </w:rPr>
            </w:pPr>
            <w:r w:rsidRPr="00AE78C6">
              <w:rPr>
                <w:sz w:val="20"/>
                <w:szCs w:val="20"/>
                <w:lang w:val="it-IT"/>
              </w:rPr>
              <w:t>- N,N-bis-phosphonomethylglycine (glyphosine) : ≤ 3 g/kg</w:t>
            </w:r>
          </w:p>
        </w:tc>
        <w:tc>
          <w:tcPr>
            <w:tcW w:w="1800" w:type="dxa"/>
          </w:tcPr>
          <w:p w14:paraId="40171C3E" w14:textId="77777777" w:rsidR="00D115AF" w:rsidRPr="00EE5641" w:rsidRDefault="00D115AF" w:rsidP="00D115AF">
            <w:pPr>
              <w:tabs>
                <w:tab w:val="left" w:pos="318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December 2023</w:t>
            </w:r>
          </w:p>
        </w:tc>
        <w:tc>
          <w:tcPr>
            <w:tcW w:w="1920" w:type="dxa"/>
          </w:tcPr>
          <w:p w14:paraId="51A34473" w14:textId="412103F4" w:rsidR="00D115AF" w:rsidRPr="00BA4B00" w:rsidRDefault="00D115AF" w:rsidP="00D115AF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B20DC0">
              <w:rPr>
                <w:sz w:val="20"/>
                <w:szCs w:val="20"/>
              </w:rPr>
              <w:t>15</w:t>
            </w:r>
            <w:r w:rsidR="005D2F2C">
              <w:rPr>
                <w:sz w:val="20"/>
                <w:szCs w:val="20"/>
              </w:rPr>
              <w:t xml:space="preserve"> December </w:t>
            </w:r>
            <w:r w:rsidRPr="00F01173">
              <w:rPr>
                <w:sz w:val="20"/>
                <w:szCs w:val="20"/>
              </w:rPr>
              <w:t>2033</w:t>
            </w:r>
          </w:p>
        </w:tc>
        <w:tc>
          <w:tcPr>
            <w:tcW w:w="5640" w:type="dxa"/>
          </w:tcPr>
          <w:p w14:paraId="107AB36F" w14:textId="77777777" w:rsidR="00D115AF" w:rsidRPr="00636334" w:rsidRDefault="00D115AF" w:rsidP="00D115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Only uses as herbicide may be authorised.</w:t>
            </w:r>
          </w:p>
          <w:p w14:paraId="4E425109" w14:textId="77777777" w:rsidR="00D115AF" w:rsidRPr="00636334" w:rsidRDefault="00D115AF" w:rsidP="00D115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For the implementation of the uniform principles, as referred to in Article 29(6) of Regulation (EC) No 1107/2009, the conclusions of the re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newal</w:t>
            </w:r>
            <w:r w:rsidRPr="00636334">
              <w:rPr>
                <w:rFonts w:eastAsia="Times New Roman"/>
                <w:sz w:val="20"/>
                <w:szCs w:val="20"/>
                <w:lang w:eastAsia="en-GB"/>
              </w:rPr>
              <w:t xml:space="preserve"> report on glyphosate, and in particular Appendices I and II thereof, shall be taken into account.</w:t>
            </w:r>
          </w:p>
          <w:p w14:paraId="612BAA72" w14:textId="77777777" w:rsidR="00D115AF" w:rsidRPr="00636334" w:rsidRDefault="00D115AF" w:rsidP="00D115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In this overall assessment Member States shall pay particular attention to:</w:t>
            </w:r>
          </w:p>
          <w:p w14:paraId="6336D1FF" w14:textId="77777777" w:rsidR="00D115AF" w:rsidRPr="00636334" w:rsidRDefault="00D115AF" w:rsidP="000E223C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4023BD">
              <w:rPr>
                <w:noProof/>
                <w:sz w:val="20"/>
                <w:szCs w:val="20"/>
              </w:rPr>
              <w:t>-</w:t>
            </w:r>
            <w:r w:rsidRPr="004023BD">
              <w:rPr>
                <w:noProof/>
                <w:sz w:val="20"/>
                <w:szCs w:val="20"/>
              </w:rPr>
              <w:tab/>
            </w:r>
            <w:r w:rsidRPr="00636334">
              <w:rPr>
                <w:noProof/>
                <w:sz w:val="20"/>
                <w:szCs w:val="20"/>
              </w:rPr>
              <w:t>the co-formulants present in glyphosate-containing plant protection products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037339">
              <w:rPr>
                <w:rStyle w:val="normaltextrun"/>
                <w:sz w:val="20"/>
                <w:szCs w:val="20"/>
              </w:rPr>
              <w:t xml:space="preserve">taking into account in particular </w:t>
            </w:r>
            <w:r w:rsidRPr="00037339">
              <w:rPr>
                <w:noProof/>
                <w:sz w:val="20"/>
                <w:szCs w:val="20"/>
              </w:rPr>
              <w:t>the crit</w:t>
            </w:r>
            <w:r>
              <w:rPr>
                <w:noProof/>
                <w:sz w:val="20"/>
                <w:szCs w:val="20"/>
              </w:rPr>
              <w:t>eri</w:t>
            </w:r>
            <w:r w:rsidRPr="00037339">
              <w:rPr>
                <w:noProof/>
                <w:sz w:val="20"/>
                <w:szCs w:val="20"/>
              </w:rPr>
              <w:t>a for</w:t>
            </w:r>
            <w:r w:rsidRPr="00492F10">
              <w:rPr>
                <w:noProof/>
                <w:sz w:val="20"/>
                <w:szCs w:val="20"/>
              </w:rPr>
              <w:t xml:space="preserve"> identification of unacceptable co-formulants as set out in Commission Implementing Regulation (EU) 2023/574</w:t>
            </w:r>
            <w:r w:rsidRPr="00636334">
              <w:rPr>
                <w:noProof/>
                <w:sz w:val="20"/>
                <w:szCs w:val="20"/>
              </w:rPr>
              <w:t>;</w:t>
            </w:r>
          </w:p>
          <w:p w14:paraId="492303C5" w14:textId="77777777" w:rsidR="00D115AF" w:rsidRPr="00636334" w:rsidRDefault="00D115AF" w:rsidP="000E223C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>the consumer exposure assessment with regards to residues that may be present in succeeding crops grown in rotation;</w:t>
            </w:r>
          </w:p>
          <w:p w14:paraId="5F547821" w14:textId="77777777" w:rsidR="00D115AF" w:rsidRPr="00636334" w:rsidRDefault="00D115AF" w:rsidP="000E223C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 xml:space="preserve">the protection of groundwater that may be exposed via </w:t>
            </w:r>
            <w:r w:rsidRPr="00636334">
              <w:rPr>
                <w:sz w:val="20"/>
                <w:szCs w:val="20"/>
              </w:rPr>
              <w:t>bank infiltration and/or connectivity of surface water bodies to groundwater aquifers</w:t>
            </w:r>
            <w:r>
              <w:t xml:space="preserve"> </w:t>
            </w:r>
            <w:r w:rsidRPr="00BD4967">
              <w:rPr>
                <w:sz w:val="20"/>
                <w:szCs w:val="20"/>
              </w:rPr>
              <w:t>and the protection of surface waters, in particular those</w:t>
            </w:r>
            <w:r>
              <w:rPr>
                <w:sz w:val="20"/>
                <w:szCs w:val="20"/>
              </w:rPr>
              <w:t xml:space="preserve"> </w:t>
            </w:r>
            <w:r w:rsidRPr="00BD4967">
              <w:rPr>
                <w:sz w:val="20"/>
                <w:szCs w:val="20"/>
              </w:rPr>
              <w:t>used for the abstraction of drinking water</w:t>
            </w:r>
            <w:r w:rsidRPr="00636334">
              <w:rPr>
                <w:noProof/>
                <w:sz w:val="20"/>
                <w:szCs w:val="20"/>
              </w:rPr>
              <w:t>;</w:t>
            </w:r>
          </w:p>
          <w:p w14:paraId="4691627B" w14:textId="77777777" w:rsidR="00D115AF" w:rsidRPr="006F56C7" w:rsidRDefault="00D115AF" w:rsidP="000E223C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 w:rsidRPr="00B64757">
              <w:rPr>
                <w:noProof/>
                <w:sz w:val="20"/>
                <w:szCs w:val="20"/>
              </w:rPr>
              <w:t>the protection of small</w:t>
            </w:r>
            <w:r w:rsidRPr="00492F10">
              <w:rPr>
                <w:noProof/>
                <w:sz w:val="20"/>
                <w:szCs w:val="20"/>
              </w:rPr>
              <w:t xml:space="preserve"> herbivorous mammals</w:t>
            </w:r>
            <w:r w:rsidRPr="0091570B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Member States</w:t>
            </w:r>
            <w:r w:rsidRPr="0091570B">
              <w:rPr>
                <w:noProof/>
                <w:sz w:val="20"/>
                <w:szCs w:val="20"/>
              </w:rPr>
              <w:t xml:space="preserve"> shall, where considered necessary </w:t>
            </w:r>
            <w:r w:rsidRPr="00492F10">
              <w:rPr>
                <w:noProof/>
                <w:sz w:val="20"/>
                <w:szCs w:val="20"/>
              </w:rPr>
              <w:t xml:space="preserve">impose mitigation measures </w:t>
            </w:r>
            <w:r w:rsidRPr="00492F10">
              <w:rPr>
                <w:noProof/>
                <w:sz w:val="20"/>
                <w:szCs w:val="20"/>
              </w:rPr>
              <w:lastRenderedPageBreak/>
              <w:t xml:space="preserve">such as limiting </w:t>
            </w:r>
            <w:r w:rsidRPr="00BE7BAC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the timing of use, the number of applications or the maximum dose rate</w:t>
            </w:r>
            <w:r w:rsidRPr="006F56C7">
              <w:rPr>
                <w:noProof/>
                <w:sz w:val="20"/>
                <w:szCs w:val="20"/>
              </w:rPr>
              <w:t xml:space="preserve">; </w:t>
            </w:r>
          </w:p>
          <w:p w14:paraId="527BD004" w14:textId="77777777" w:rsidR="00D115AF" w:rsidRPr="00636334" w:rsidRDefault="00D115AF" w:rsidP="000E223C">
            <w:pPr>
              <w:tabs>
                <w:tab w:val="left" w:pos="373"/>
              </w:tabs>
              <w:spacing w:before="40" w:after="40"/>
              <w:ind w:left="373" w:hanging="373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  <w:t xml:space="preserve">the </w:t>
            </w:r>
            <w:r>
              <w:rPr>
                <w:noProof/>
                <w:sz w:val="20"/>
                <w:szCs w:val="20"/>
              </w:rPr>
              <w:t xml:space="preserve">protection of </w:t>
            </w:r>
            <w:r w:rsidRPr="00636334">
              <w:rPr>
                <w:noProof/>
                <w:sz w:val="20"/>
                <w:szCs w:val="20"/>
              </w:rPr>
              <w:t xml:space="preserve">non-target </w:t>
            </w:r>
            <w:r>
              <w:rPr>
                <w:noProof/>
                <w:sz w:val="20"/>
                <w:szCs w:val="20"/>
              </w:rPr>
              <w:t>terrestrial and aquatic</w:t>
            </w:r>
            <w:r w:rsidRPr="00636334">
              <w:rPr>
                <w:noProof/>
                <w:sz w:val="20"/>
                <w:szCs w:val="20"/>
              </w:rPr>
              <w:t xml:space="preserve"> plants from exposure by spray drift</w:t>
            </w:r>
            <w:r>
              <w:rPr>
                <w:noProof/>
                <w:sz w:val="20"/>
                <w:szCs w:val="20"/>
              </w:rPr>
              <w:t xml:space="preserve">; </w:t>
            </w:r>
          </w:p>
          <w:p w14:paraId="72E8004B" w14:textId="77777777" w:rsidR="00D115AF" w:rsidRDefault="00D115AF" w:rsidP="00F703CB">
            <w:pPr>
              <w:tabs>
                <w:tab w:val="left" w:pos="366"/>
              </w:tabs>
              <w:spacing w:before="40" w:after="40"/>
              <w:ind w:left="373" w:hanging="373"/>
              <w:rPr>
                <w:color w:val="00000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 w:rsidRPr="002B1471">
              <w:rPr>
                <w:noProof/>
                <w:sz w:val="20"/>
                <w:szCs w:val="20"/>
              </w:rPr>
              <w:t xml:space="preserve">indirect effects on biodiversity, via trophic interactions. </w:t>
            </w:r>
            <w:r>
              <w:rPr>
                <w:noProof/>
                <w:sz w:val="20"/>
                <w:szCs w:val="20"/>
              </w:rPr>
              <w:t xml:space="preserve">Where Member States identify any such potential indirect effects on biodiversity, they </w:t>
            </w:r>
            <w:r w:rsidRPr="002B1471">
              <w:rPr>
                <w:color w:val="000000"/>
                <w:sz w:val="20"/>
                <w:szCs w:val="20"/>
              </w:rPr>
              <w:t xml:space="preserve">shall consider, when appropriate and taking into account their local agro-environmental conditions, whether </w:t>
            </w:r>
            <w:r>
              <w:rPr>
                <w:color w:val="000000"/>
                <w:sz w:val="20"/>
                <w:szCs w:val="20"/>
              </w:rPr>
              <w:t xml:space="preserve">practical </w:t>
            </w:r>
            <w:r w:rsidRPr="002B1471">
              <w:rPr>
                <w:color w:val="000000"/>
                <w:sz w:val="20"/>
                <w:szCs w:val="20"/>
              </w:rPr>
              <w:t>alternative control or prevention methods with less impact on biodiversity are available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2B1471">
              <w:rPr>
                <w:color w:val="000000"/>
                <w:sz w:val="20"/>
                <w:szCs w:val="20"/>
              </w:rPr>
              <w:t xml:space="preserve">in such cases </w:t>
            </w:r>
            <w:r>
              <w:rPr>
                <w:color w:val="000000"/>
                <w:sz w:val="20"/>
                <w:szCs w:val="20"/>
              </w:rPr>
              <w:t xml:space="preserve">Member States </w:t>
            </w:r>
            <w:r w:rsidRPr="002B1471">
              <w:rPr>
                <w:color w:val="000000"/>
                <w:sz w:val="20"/>
                <w:szCs w:val="20"/>
              </w:rPr>
              <w:t>may set specific conditions or restrictions of use for plant protection products containing glyphosate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49602B17" w14:textId="77777777" w:rsidR="00D115AF" w:rsidRDefault="00D115AF" w:rsidP="00F703CB">
            <w:pPr>
              <w:tabs>
                <w:tab w:val="left" w:pos="366"/>
              </w:tabs>
              <w:spacing w:before="40" w:after="40"/>
              <w:ind w:left="373" w:hanging="350"/>
              <w:rPr>
                <w:noProof/>
                <w:sz w:val="20"/>
                <w:szCs w:val="20"/>
              </w:rPr>
            </w:pPr>
            <w:r w:rsidRPr="00636334">
              <w:rPr>
                <w:noProof/>
                <w:sz w:val="20"/>
                <w:szCs w:val="20"/>
              </w:rPr>
              <w:t>-</w:t>
            </w:r>
            <w:r w:rsidRPr="00636334"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 xml:space="preserve">the assessment of </w:t>
            </w:r>
            <w:r w:rsidRPr="00636334">
              <w:rPr>
                <w:noProof/>
                <w:sz w:val="20"/>
                <w:szCs w:val="20"/>
              </w:rPr>
              <w:t>use</w:t>
            </w:r>
            <w:r>
              <w:rPr>
                <w:noProof/>
                <w:sz w:val="20"/>
                <w:szCs w:val="20"/>
              </w:rPr>
              <w:t>s</w:t>
            </w:r>
            <w:r w:rsidRPr="00636334">
              <w:rPr>
                <w:noProof/>
                <w:sz w:val="20"/>
                <w:szCs w:val="20"/>
              </w:rPr>
              <w:t xml:space="preserve"> by non-professional</w:t>
            </w:r>
            <w:r>
              <w:rPr>
                <w:noProof/>
                <w:sz w:val="20"/>
                <w:szCs w:val="20"/>
              </w:rPr>
              <w:t xml:space="preserve"> user</w:t>
            </w:r>
            <w:r w:rsidRPr="00636334">
              <w:rPr>
                <w:noProof/>
                <w:sz w:val="20"/>
                <w:szCs w:val="20"/>
              </w:rPr>
              <w:t>s</w:t>
            </w:r>
            <w:r>
              <w:rPr>
                <w:noProof/>
                <w:sz w:val="20"/>
                <w:szCs w:val="20"/>
              </w:rPr>
              <w:t>;</w:t>
            </w:r>
          </w:p>
          <w:p w14:paraId="0961F64A" w14:textId="2DEC6CF4" w:rsidR="00D115AF" w:rsidRDefault="00D115AF" w:rsidP="00F703CB">
            <w:pPr>
              <w:tabs>
                <w:tab w:val="left" w:pos="366"/>
              </w:tabs>
              <w:spacing w:before="40" w:after="40"/>
              <w:ind w:left="373" w:hanging="35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 </w:t>
            </w:r>
            <w:r w:rsidRPr="00636334">
              <w:rPr>
                <w:noProof/>
                <w:sz w:val="20"/>
                <w:szCs w:val="20"/>
              </w:rPr>
              <w:t xml:space="preserve">compliance of pre-harvest uses with </w:t>
            </w:r>
            <w:r>
              <w:rPr>
                <w:noProof/>
                <w:sz w:val="20"/>
                <w:szCs w:val="20"/>
              </w:rPr>
              <w:t xml:space="preserve">the </w:t>
            </w:r>
            <w:r w:rsidRPr="00E63F09">
              <w:rPr>
                <w:noProof/>
                <w:sz w:val="20"/>
                <w:szCs w:val="20"/>
              </w:rPr>
              <w:t xml:space="preserve">provisions of </w:t>
            </w:r>
            <w:r w:rsidRPr="002839E3">
              <w:rPr>
                <w:noProof/>
                <w:sz w:val="20"/>
                <w:szCs w:val="20"/>
              </w:rPr>
              <w:t xml:space="preserve">Directive 2009/128/EC in conjunction with </w:t>
            </w:r>
            <w:r w:rsidRPr="00E63F09">
              <w:rPr>
                <w:noProof/>
                <w:sz w:val="20"/>
                <w:szCs w:val="20"/>
              </w:rPr>
              <w:t>Article 55 of Regulation (EC) No 1107/</w:t>
            </w:r>
            <w:r w:rsidRPr="000E223C">
              <w:rPr>
                <w:noProof/>
                <w:sz w:val="20"/>
                <w:szCs w:val="20"/>
              </w:rPr>
              <w:t>2009.</w:t>
            </w:r>
            <w:r w:rsidR="000E223C" w:rsidRPr="000E223C">
              <w:rPr>
                <w:noProof/>
                <w:sz w:val="20"/>
                <w:szCs w:val="20"/>
              </w:rPr>
              <w:t xml:space="preserve"> </w:t>
            </w:r>
            <w:r w:rsidR="000E223C" w:rsidRPr="000E223C">
              <w:rPr>
                <w:sz w:val="20"/>
                <w:szCs w:val="20"/>
              </w:rPr>
              <w:t>Use</w:t>
            </w:r>
            <w:r w:rsidR="00F01173">
              <w:rPr>
                <w:sz w:val="20"/>
                <w:szCs w:val="20"/>
              </w:rPr>
              <w:t>s</w:t>
            </w:r>
            <w:r w:rsidR="000E223C" w:rsidRPr="000E223C">
              <w:rPr>
                <w:sz w:val="20"/>
                <w:szCs w:val="20"/>
              </w:rPr>
              <w:t xml:space="preserve"> for desiccation shall not be authorised.</w:t>
            </w:r>
          </w:p>
          <w:p w14:paraId="0E321BB3" w14:textId="77777777" w:rsidR="00D115AF" w:rsidRDefault="00D115AF" w:rsidP="00D115AF">
            <w:pPr>
              <w:rPr>
                <w:noProof/>
                <w:sz w:val="20"/>
                <w:szCs w:val="20"/>
              </w:rPr>
            </w:pPr>
            <w:r w:rsidRPr="00636334">
              <w:rPr>
                <w:spacing w:val="-3"/>
                <w:sz w:val="20"/>
                <w:szCs w:val="20"/>
              </w:rPr>
              <w:t>Conditions of use shall include risk mitigation measures, including combinations thereof, as required</w:t>
            </w:r>
            <w:r w:rsidRPr="00636334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In particular, drift from 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spray applications made by professional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users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in agricultural fields shall be reduced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. 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By default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EA6386">
              <w:rPr>
                <w:sz w:val="20"/>
                <w:szCs w:val="20"/>
              </w:rPr>
              <w:t>an in-field non-sprayed buffer strip of at least 5 to 10 m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and 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drift reduction nozzles 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reducing 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spray drift by at least 75% shall be required, unless the outcome of the risk assessment undertaken for 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a</w:t>
            </w:r>
            <w:r w:rsidRPr="00EA6386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specific plant protection product use 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indicates that such risk mitigation is not needed or can be lowered because there are no unacceptable risks </w:t>
            </w:r>
            <w:r w:rsidRPr="00BC00A4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</w:t>
            </w:r>
            <w:r w:rsidRPr="0033674D"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used by</w:t>
            </w:r>
            <w:r>
              <w:rPr>
                <w:rStyle w:val="cf0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spray drift. </w:t>
            </w:r>
          </w:p>
          <w:p w14:paraId="335D58F3" w14:textId="77777777" w:rsidR="00D115AF" w:rsidRPr="00B15502" w:rsidRDefault="00D115AF" w:rsidP="00D115A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 addition</w:t>
            </w:r>
            <w:r w:rsidRPr="00302F74">
              <w:rPr>
                <w:sz w:val="20"/>
                <w:szCs w:val="20"/>
              </w:rPr>
              <w:t xml:space="preserve">, Member States </w:t>
            </w:r>
            <w:r>
              <w:rPr>
                <w:sz w:val="20"/>
                <w:szCs w:val="20"/>
              </w:rPr>
              <w:t xml:space="preserve">may </w:t>
            </w:r>
            <w:r w:rsidRPr="00302F74">
              <w:rPr>
                <w:sz w:val="20"/>
                <w:szCs w:val="20"/>
              </w:rPr>
              <w:t>set monitoring requirements when granting authorisations, in order to complement the monitoring under Directives 2000/60/EC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 w:rsidRPr="00302F74">
              <w:rPr>
                <w:sz w:val="20"/>
                <w:szCs w:val="20"/>
              </w:rPr>
              <w:t xml:space="preserve"> and 2009/128/EC.</w:t>
            </w:r>
          </w:p>
          <w:p w14:paraId="1F2A4197" w14:textId="77777777" w:rsidR="00D115AF" w:rsidRDefault="00D115AF" w:rsidP="00D115AF">
            <w:pPr>
              <w:tabs>
                <w:tab w:val="left" w:pos="4771"/>
              </w:tabs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636334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Member States shall ensure that use of plant protection products containing glyphosate is minimised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or prohibited </w:t>
            </w:r>
            <w:r w:rsidRPr="00636334">
              <w:rPr>
                <w:rFonts w:eastAsia="Times New Roman"/>
                <w:sz w:val="20"/>
                <w:szCs w:val="20"/>
                <w:lang w:eastAsia="en-GB"/>
              </w:rPr>
              <w:t>in the specific areas listed in Article 12(a) of Directive 2009/128/EC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. </w:t>
            </w:r>
          </w:p>
          <w:p w14:paraId="377665EA" w14:textId="77777777" w:rsidR="00D115AF" w:rsidRDefault="00D115AF" w:rsidP="00D115AF">
            <w:pPr>
              <w:spacing w:before="0" w:after="0"/>
              <w:rPr>
                <w:sz w:val="20"/>
                <w:szCs w:val="20"/>
              </w:rPr>
            </w:pPr>
            <w:r w:rsidRPr="00B15502">
              <w:rPr>
                <w:spacing w:val="-3"/>
                <w:sz w:val="20"/>
                <w:szCs w:val="20"/>
              </w:rPr>
              <w:t xml:space="preserve">The applicant shall submit to the Commission, the Member States and the Authority confirmatory information as regards </w:t>
            </w:r>
            <w:r w:rsidRPr="00B15502">
              <w:rPr>
                <w:sz w:val="20"/>
                <w:szCs w:val="20"/>
              </w:rPr>
              <w:t xml:space="preserve">the potential </w:t>
            </w:r>
            <w:r>
              <w:rPr>
                <w:sz w:val="20"/>
                <w:szCs w:val="20"/>
              </w:rPr>
              <w:t>indirect effects on</w:t>
            </w:r>
            <w:r w:rsidRPr="00B15502">
              <w:rPr>
                <w:sz w:val="20"/>
                <w:szCs w:val="20"/>
              </w:rPr>
              <w:t xml:space="preserve"> biodiversity via trophic interactions</w:t>
            </w:r>
            <w:r w:rsidRPr="00B15502">
              <w:rPr>
                <w:color w:val="000000"/>
                <w:sz w:val="20"/>
                <w:szCs w:val="20"/>
              </w:rPr>
              <w:t>,</w:t>
            </w:r>
            <w:r w:rsidRPr="00B15502">
              <w:rPr>
                <w:sz w:val="20"/>
                <w:szCs w:val="20"/>
              </w:rPr>
              <w:t xml:space="preserve"> within three years from the date of applicability of a </w:t>
            </w:r>
            <w:r>
              <w:rPr>
                <w:sz w:val="20"/>
                <w:szCs w:val="20"/>
              </w:rPr>
              <w:t>relevant</w:t>
            </w:r>
            <w:r w:rsidRPr="00B15502">
              <w:rPr>
                <w:sz w:val="20"/>
                <w:szCs w:val="20"/>
              </w:rPr>
              <w:t xml:space="preserve"> guidance document endorsed by the Standing Committee on Plants, Animals, Food and Feed.</w:t>
            </w:r>
          </w:p>
          <w:p w14:paraId="3907A247" w14:textId="76FBDDBC" w:rsidR="000E223C" w:rsidRPr="00D46610" w:rsidRDefault="000E223C" w:rsidP="00D115AF">
            <w:pPr>
              <w:spacing w:before="0" w:after="0"/>
              <w:rPr>
                <w:sz w:val="20"/>
                <w:highlight w:val="cyan"/>
              </w:rPr>
            </w:pPr>
          </w:p>
        </w:tc>
      </w:tr>
      <w:tr w:rsidR="000E223C" w:rsidRPr="00D07519" w14:paraId="2A1A60C0" w14:textId="77777777" w:rsidTr="00371564">
        <w:tc>
          <w:tcPr>
            <w:tcW w:w="851" w:type="dxa"/>
          </w:tcPr>
          <w:p w14:paraId="35AD1DEE" w14:textId="77777777" w:rsidR="000E223C" w:rsidRDefault="000E223C" w:rsidP="00D115AF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89" w:type="dxa"/>
          </w:tcPr>
          <w:p w14:paraId="4D620B5A" w14:textId="77777777" w:rsidR="000E223C" w:rsidRPr="00F01173" w:rsidRDefault="000E223C" w:rsidP="00D115AF">
            <w:pPr>
              <w:spacing w:before="40" w:after="40"/>
              <w:jc w:val="left"/>
              <w:rPr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</w:tcPr>
          <w:p w14:paraId="455A5802" w14:textId="77777777" w:rsidR="000E223C" w:rsidRPr="00A10DFF" w:rsidRDefault="000E223C" w:rsidP="00D115AF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680" w:type="dxa"/>
          </w:tcPr>
          <w:p w14:paraId="35EF162D" w14:textId="77777777" w:rsidR="000E223C" w:rsidRPr="007128D7" w:rsidRDefault="000E223C" w:rsidP="00D115A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3280D5" w14:textId="77777777" w:rsidR="000E223C" w:rsidRDefault="000E223C" w:rsidP="00D115AF">
            <w:pPr>
              <w:tabs>
                <w:tab w:val="left" w:pos="318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C8545F8" w14:textId="77777777" w:rsidR="000E223C" w:rsidRPr="00B20DC0" w:rsidRDefault="000E223C" w:rsidP="00D115AF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640" w:type="dxa"/>
          </w:tcPr>
          <w:p w14:paraId="3FDA05B9" w14:textId="77777777" w:rsidR="000E223C" w:rsidRPr="00636334" w:rsidRDefault="000E223C" w:rsidP="00D115A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3615FC0F" w14:textId="77777777" w:rsidR="009567C0" w:rsidRPr="00E46C84" w:rsidRDefault="009567C0" w:rsidP="002C29A8"/>
    <w:sectPr w:rsidR="009567C0" w:rsidRPr="00E46C84" w:rsidSect="00866FA1">
      <w:pgSz w:w="16839" w:h="11907" w:orient="landscape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4F24" w14:textId="77777777" w:rsidR="00017173" w:rsidRDefault="00017173" w:rsidP="00615B4B">
      <w:pPr>
        <w:spacing w:before="0" w:after="0"/>
      </w:pPr>
      <w:r>
        <w:separator/>
      </w:r>
    </w:p>
  </w:endnote>
  <w:endnote w:type="continuationSeparator" w:id="0">
    <w:p w14:paraId="224FD528" w14:textId="77777777" w:rsidR="00017173" w:rsidRDefault="00017173" w:rsidP="00615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A3E" w14:textId="27656160" w:rsidR="002C29A8" w:rsidRPr="00866FA1" w:rsidRDefault="00866FA1" w:rsidP="00866FA1">
    <w:pPr>
      <w:pStyle w:val="Footer"/>
      <w:rPr>
        <w:rFonts w:ascii="Arial" w:hAnsi="Arial" w:cs="Arial"/>
        <w:b/>
        <w:sz w:val="48"/>
      </w:rPr>
    </w:pPr>
    <w:r w:rsidRPr="00866FA1">
      <w:rPr>
        <w:rFonts w:ascii="Arial" w:hAnsi="Arial" w:cs="Arial"/>
        <w:b/>
        <w:sz w:val="48"/>
      </w:rPr>
      <w:t>EN</w:t>
    </w:r>
    <w:r w:rsidRPr="00866FA1">
      <w:rPr>
        <w:rFonts w:ascii="Arial" w:hAnsi="Arial" w:cs="Arial"/>
        <w:b/>
        <w:sz w:val="48"/>
      </w:rPr>
      <w:tab/>
    </w:r>
    <w:r w:rsidRPr="00866FA1">
      <w:rPr>
        <w:rFonts w:ascii="Arial" w:hAnsi="Arial" w:cs="Arial"/>
        <w:b/>
        <w:sz w:val="48"/>
      </w:rPr>
      <w:tab/>
    </w:r>
    <w:r w:rsidRPr="00866FA1">
      <w:tab/>
    </w:r>
    <w:r w:rsidRPr="00866FA1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F538" w14:textId="7AB027D9" w:rsidR="002C29A8" w:rsidRPr="00866FA1" w:rsidRDefault="00866FA1" w:rsidP="00866FA1">
    <w:pPr>
      <w:pStyle w:val="Footer"/>
      <w:rPr>
        <w:rFonts w:ascii="Arial" w:hAnsi="Arial" w:cs="Arial"/>
        <w:b/>
        <w:sz w:val="48"/>
      </w:rPr>
    </w:pPr>
    <w:r w:rsidRPr="00866FA1">
      <w:rPr>
        <w:rFonts w:ascii="Arial" w:hAnsi="Arial" w:cs="Arial"/>
        <w:b/>
        <w:sz w:val="48"/>
      </w:rPr>
      <w:t>EN</w:t>
    </w:r>
    <w:r w:rsidRPr="00866FA1">
      <w:rPr>
        <w:rFonts w:ascii="Arial" w:hAnsi="Arial" w:cs="Arial"/>
        <w:b/>
        <w:sz w:val="48"/>
      </w:rPr>
      <w:tab/>
    </w:r>
    <w:r w:rsidRPr="00866FA1">
      <w:rPr>
        <w:rFonts w:ascii="Arial" w:hAnsi="Arial" w:cs="Arial"/>
        <w:b/>
        <w:sz w:val="48"/>
      </w:rPr>
      <w:tab/>
    </w:r>
    <w:r w:rsidRPr="00866FA1">
      <w:tab/>
    </w:r>
    <w:r w:rsidRPr="00866FA1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47F" w14:textId="1CA2E957" w:rsidR="002C29A8" w:rsidRPr="00866FA1" w:rsidRDefault="00866FA1" w:rsidP="00866FA1">
    <w:pPr>
      <w:pStyle w:val="FooterLandscape"/>
      <w:rPr>
        <w:rFonts w:ascii="Arial" w:hAnsi="Arial" w:cs="Arial"/>
        <w:b/>
        <w:sz w:val="48"/>
      </w:rPr>
    </w:pPr>
    <w:r w:rsidRPr="00866FA1">
      <w:rPr>
        <w:rFonts w:ascii="Arial" w:hAnsi="Arial" w:cs="Arial"/>
        <w:b/>
        <w:sz w:val="48"/>
      </w:rPr>
      <w:t>EN</w:t>
    </w:r>
    <w:r w:rsidRPr="00866FA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Pr="00866FA1">
      <w:tab/>
    </w:r>
    <w:r w:rsidRPr="00866FA1">
      <w:rPr>
        <w:rFonts w:ascii="Arial" w:hAnsi="Arial" w:cs="Arial"/>
        <w:b/>
        <w:sz w:val="48"/>
      </w:rPr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0510" w14:textId="77777777" w:rsidR="00866FA1" w:rsidRPr="00866FA1" w:rsidRDefault="00866FA1" w:rsidP="00866FA1">
    <w:pPr>
      <w:pStyle w:val="FooterLandscap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6015" w14:textId="77777777" w:rsidR="00017173" w:rsidRDefault="00017173" w:rsidP="00615B4B">
      <w:pPr>
        <w:spacing w:before="0" w:after="0"/>
      </w:pPr>
      <w:r>
        <w:separator/>
      </w:r>
    </w:p>
  </w:footnote>
  <w:footnote w:type="continuationSeparator" w:id="0">
    <w:p w14:paraId="68537F57" w14:textId="77777777" w:rsidR="00017173" w:rsidRDefault="00017173" w:rsidP="00615B4B">
      <w:pPr>
        <w:spacing w:before="0" w:after="0"/>
      </w:pPr>
      <w:r>
        <w:continuationSeparator/>
      </w:r>
    </w:p>
  </w:footnote>
  <w:footnote w:id="1">
    <w:p w14:paraId="6AF7864F" w14:textId="77777777" w:rsidR="009567C0" w:rsidRDefault="009567C0" w:rsidP="009567C0">
      <w:pPr>
        <w:pStyle w:val="FootnoteText"/>
      </w:pPr>
      <w:r w:rsidRPr="009B7244">
        <w:rPr>
          <w:rStyle w:val="FootnoteReference"/>
        </w:rPr>
        <w:footnoteRef/>
      </w:r>
      <w:r w:rsidRPr="009B7244">
        <w:tab/>
        <w:t xml:space="preserve">Further details on </w:t>
      </w:r>
      <w:r w:rsidR="00A42483">
        <w:t xml:space="preserve">the </w:t>
      </w:r>
      <w:r w:rsidRPr="009B7244">
        <w:t xml:space="preserve">identity and specification of </w:t>
      </w:r>
      <w:r w:rsidR="00A42483">
        <w:t xml:space="preserve">the </w:t>
      </w:r>
      <w:r w:rsidRPr="009B7244">
        <w:t>active substance are provided in the re</w:t>
      </w:r>
      <w:r w:rsidR="00A42483">
        <w:t>newal</w:t>
      </w:r>
      <w:r w:rsidRPr="009B7244">
        <w:t xml:space="preserve"> report</w:t>
      </w:r>
      <w:r>
        <w:t>.</w:t>
      </w:r>
    </w:p>
  </w:footnote>
  <w:footnote w:id="2">
    <w:p w14:paraId="34E8649C" w14:textId="3601D26A" w:rsidR="00B15502" w:rsidRPr="00B15502" w:rsidRDefault="00B15502">
      <w:pPr>
        <w:pStyle w:val="FootnoteText"/>
        <w:rPr>
          <w:lang w:val="en-IE"/>
        </w:rPr>
      </w:pPr>
      <w:r w:rsidRPr="00336EC4">
        <w:rPr>
          <w:rStyle w:val="FootnoteReference"/>
        </w:rPr>
        <w:footnoteRef/>
      </w:r>
      <w:r w:rsidR="00336EC4">
        <w:tab/>
      </w:r>
      <w:r>
        <w:t>Directive 2000/60/EC of the European Parliament and of the Council of 23 October 2000 establishing a framework for Community action in the field of water policy (</w:t>
      </w:r>
      <w:r w:rsidRPr="003143DE">
        <w:t>OJ L 327, 22.12.2000, p. 1</w:t>
      </w:r>
      <w:r>
        <w:t>).</w:t>
      </w:r>
    </w:p>
  </w:footnote>
  <w:footnote w:id="3">
    <w:p w14:paraId="0D502A5F" w14:textId="77777777" w:rsidR="001571FC" w:rsidRDefault="001571FC" w:rsidP="001571FC">
      <w:pPr>
        <w:pStyle w:val="FootnoteText"/>
      </w:pPr>
      <w:r w:rsidRPr="009B7244">
        <w:rPr>
          <w:rStyle w:val="FootnoteReference"/>
        </w:rPr>
        <w:footnoteRef/>
      </w:r>
      <w:r w:rsidRPr="009B7244">
        <w:tab/>
        <w:t>Further details on</w:t>
      </w:r>
      <w:r w:rsidR="00A42483">
        <w:t xml:space="preserve"> the</w:t>
      </w:r>
      <w:r w:rsidRPr="009B7244">
        <w:t xml:space="preserve"> identity and specification of </w:t>
      </w:r>
      <w:r w:rsidR="00A42483">
        <w:t xml:space="preserve">the </w:t>
      </w:r>
      <w:r w:rsidRPr="009B7244">
        <w:t xml:space="preserve">active substance are provided in the </w:t>
      </w:r>
      <w:r w:rsidR="00A42483" w:rsidRPr="009B7244">
        <w:t>ren</w:t>
      </w:r>
      <w:r w:rsidR="00A42483">
        <w:t xml:space="preserve">ewal </w:t>
      </w:r>
      <w:r w:rsidRPr="009B7244">
        <w:t>report</w:t>
      </w:r>
      <w:r>
        <w:t>.</w:t>
      </w:r>
    </w:p>
  </w:footnote>
  <w:footnote w:id="4">
    <w:p w14:paraId="5ED61872" w14:textId="77777777" w:rsidR="00D115AF" w:rsidRPr="00B15502" w:rsidRDefault="00D115AF">
      <w:pPr>
        <w:pStyle w:val="FootnoteText"/>
        <w:rPr>
          <w:lang w:val="en-IE"/>
        </w:rPr>
      </w:pPr>
      <w:r w:rsidRPr="00336EC4">
        <w:rPr>
          <w:rStyle w:val="FootnoteReference"/>
        </w:rPr>
        <w:footnoteRef/>
      </w:r>
      <w:r>
        <w:tab/>
        <w:t>Directive 2000/60/EC of the European Parliament and of the Council of 23 October 2000 establishing a framework for Community action in the field of water policy (</w:t>
      </w:r>
      <w:r w:rsidRPr="003143DE">
        <w:t>OJ L 327, 22.12.2000, p. 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F99" w14:textId="4675EC4F" w:rsidR="004014A2" w:rsidRDefault="00797474">
    <w:pPr>
      <w:pStyle w:val="Header"/>
    </w:pPr>
    <w:r>
      <w:rPr>
        <w:noProof/>
      </w:rPr>
      <w:pict w14:anchorId="5721C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1" o:spid="_x0000_s237571" type="#_x0000_t136" style="position:absolute;left:0;text-align:left;margin-left:0;margin-top:0;width:456.85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9138" w14:textId="1889E076" w:rsidR="00FD22F2" w:rsidRDefault="00797474">
    <w:pPr>
      <w:pStyle w:val="Header"/>
    </w:pPr>
    <w:r>
      <w:rPr>
        <w:noProof/>
      </w:rPr>
      <w:pict w14:anchorId="56BFD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2" o:spid="_x0000_s237572" type="#_x0000_t136" style="position:absolute;left:0;text-align:left;margin-left:0;margin-top:0;width:456.85pt;height:182.7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30E" w14:textId="62BE568B" w:rsidR="004014A2" w:rsidRDefault="00797474">
    <w:pPr>
      <w:pStyle w:val="Header"/>
    </w:pPr>
    <w:r>
      <w:rPr>
        <w:noProof/>
      </w:rPr>
      <w:pict w14:anchorId="0ACFD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0" o:spid="_x0000_s237570" type="#_x0000_t136" style="position:absolute;left:0;text-align:left;margin-left:0;margin-top:0;width:456.85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18E" w14:textId="192AA64C" w:rsidR="004014A2" w:rsidRDefault="00797474">
    <w:pPr>
      <w:pStyle w:val="Header"/>
    </w:pPr>
    <w:r>
      <w:rPr>
        <w:noProof/>
      </w:rPr>
      <w:pict w14:anchorId="27704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4" o:spid="_x0000_s237574" type="#_x0000_t136" style="position:absolute;left:0;text-align:left;margin-left:0;margin-top:0;width:456.85pt;height:182.7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835" w14:textId="7DA8C35B" w:rsidR="002C29A8" w:rsidRPr="002C29A8" w:rsidRDefault="00797474" w:rsidP="00866FA1">
    <w:pPr>
      <w:pStyle w:val="HeaderLandscape"/>
    </w:pPr>
    <w:r>
      <w:rPr>
        <w:noProof/>
      </w:rPr>
      <w:pict w14:anchorId="7D493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5" o:spid="_x0000_s237575" type="#_x0000_t136" style="position:absolute;left:0;text-align:left;margin-left:0;margin-top:0;width:456.85pt;height:182.7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ED4" w14:textId="391327B2" w:rsidR="00866FA1" w:rsidRPr="00866FA1" w:rsidRDefault="00797474" w:rsidP="00866FA1">
    <w:pPr>
      <w:pStyle w:val="HeaderLandscape"/>
    </w:pPr>
    <w:r>
      <w:rPr>
        <w:noProof/>
      </w:rPr>
      <w:pict w14:anchorId="1A8D4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12253" o:spid="_x0000_s237573" type="#_x0000_t136" style="position:absolute;left:0;text-align:left;margin-left:0;margin-top:0;width:456.85pt;height:182.7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9DE2B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4CE0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57E15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4E3A7B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D14F0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C188B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F0A2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1CC7A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92696455">
    <w:abstractNumId w:val="7"/>
  </w:num>
  <w:num w:numId="2" w16cid:durableId="927543463">
    <w:abstractNumId w:val="5"/>
  </w:num>
  <w:num w:numId="3" w16cid:durableId="1775248848">
    <w:abstractNumId w:val="4"/>
  </w:num>
  <w:num w:numId="4" w16cid:durableId="1915507235">
    <w:abstractNumId w:val="3"/>
  </w:num>
  <w:num w:numId="5" w16cid:durableId="1850487009">
    <w:abstractNumId w:val="6"/>
  </w:num>
  <w:num w:numId="6" w16cid:durableId="355692322">
    <w:abstractNumId w:val="2"/>
  </w:num>
  <w:num w:numId="7" w16cid:durableId="679507130">
    <w:abstractNumId w:val="1"/>
  </w:num>
  <w:num w:numId="8" w16cid:durableId="54402322">
    <w:abstractNumId w:val="0"/>
  </w:num>
  <w:num w:numId="9" w16cid:durableId="1259559884">
    <w:abstractNumId w:val="19"/>
  </w:num>
  <w:num w:numId="10" w16cid:durableId="975643985">
    <w:abstractNumId w:val="12"/>
  </w:num>
  <w:num w:numId="11" w16cid:durableId="1265767037">
    <w:abstractNumId w:val="21"/>
  </w:num>
  <w:num w:numId="12" w16cid:durableId="1417248628">
    <w:abstractNumId w:val="11"/>
  </w:num>
  <w:num w:numId="13" w16cid:durableId="1978801440">
    <w:abstractNumId w:val="13"/>
  </w:num>
  <w:num w:numId="14" w16cid:durableId="1747798578">
    <w:abstractNumId w:val="14"/>
  </w:num>
  <w:num w:numId="15" w16cid:durableId="2017421882">
    <w:abstractNumId w:val="9"/>
  </w:num>
  <w:num w:numId="16" w16cid:durableId="2138330419">
    <w:abstractNumId w:val="20"/>
  </w:num>
  <w:num w:numId="17" w16cid:durableId="2025397828">
    <w:abstractNumId w:val="8"/>
  </w:num>
  <w:num w:numId="18" w16cid:durableId="1168599446">
    <w:abstractNumId w:val="15"/>
  </w:num>
  <w:num w:numId="19" w16cid:durableId="1537549320">
    <w:abstractNumId w:val="17"/>
  </w:num>
  <w:num w:numId="20" w16cid:durableId="594827181">
    <w:abstractNumId w:val="18"/>
  </w:num>
  <w:num w:numId="21" w16cid:durableId="1948269337">
    <w:abstractNumId w:val="10"/>
  </w:num>
  <w:num w:numId="22" w16cid:durableId="1494490419">
    <w:abstractNumId w:val="16"/>
  </w:num>
  <w:num w:numId="23" w16cid:durableId="176091099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IE" w:vendorID="64" w:dllVersion="0" w:nlCheck="1" w:checkStyle="0"/>
  <w:attachedTemplate r:id="rId1"/>
  <w:defaultTabStop w:val="720"/>
  <w:characterSpacingControl w:val="doNotCompress"/>
  <w:hdrShapeDefaults>
    <o:shapedefaults v:ext="edit" spidmax="237576"/>
    <o:shapelayout v:ext="edit">
      <o:idmap v:ext="edit" data="2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QCDateTime" w:val="2023-08-07 12:47:21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207EA02-A26F-4996-8BA5-6F6A9A7A0BDE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&lt;FMT:Bold&gt;renewing the approval of the active substance glyphosate in accordance with Regulation (EC) No 1107/2009 of the European Parliament and of the Council and amending Commission Implementing Regulation (EU) No 540/2011&lt;/FMT&gt;"/>
    <w:docVar w:name="LW_OBJETACTEPRINCIPAL.CP" w:val="&lt;FMT:Bold&gt;renewing the approval of the active substance glyphosate in accordance with Regulation (EC) No 1107/2009 of the European Parliament and of the Council and amending Commission Implementing Regulation (EU) No 540/2011&lt;/FMT&gt;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23) XXX"/>
    <w:docVar w:name="LW_REF.INTERNE" w:val="PLAN/2023/1497 ANNEX Rev. 0"/>
    <w:docVar w:name="LW_SENSITIVITY" w:val="&lt;?xml version=&quot;1.0&quot; encoding=&quot;utf-8&quot;?&gt;_x000d__x000a_&lt;SensitivityLevel xmlns:xsd=&quot;http://www.w3.org/2001/XMLSchema&quot; xmlns:xsi=&quot;http://www.w3.org/2001/XMLSchema-instance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ANNEXES"/>
    <w:docVar w:name="LW_TYPEACTEPRINCIPAL" w:val="COMMISSION IMPLEMENTING REGULATION (EU) .../..."/>
    <w:docVar w:name="LW_TYPEACTEPRINCIPAL.CP" w:val="COMMISSION IMPLEMENTING REGULATION (EU) .../..."/>
  </w:docVars>
  <w:rsids>
    <w:rsidRoot w:val="00615B4B"/>
    <w:rsid w:val="00016779"/>
    <w:rsid w:val="00017173"/>
    <w:rsid w:val="00037339"/>
    <w:rsid w:val="00043C8B"/>
    <w:rsid w:val="00047732"/>
    <w:rsid w:val="0005407F"/>
    <w:rsid w:val="00056753"/>
    <w:rsid w:val="0007286B"/>
    <w:rsid w:val="00072F10"/>
    <w:rsid w:val="00072F2A"/>
    <w:rsid w:val="000838F1"/>
    <w:rsid w:val="000B258D"/>
    <w:rsid w:val="000D7A21"/>
    <w:rsid w:val="000E223C"/>
    <w:rsid w:val="000F3E35"/>
    <w:rsid w:val="000F6443"/>
    <w:rsid w:val="000F6F3B"/>
    <w:rsid w:val="00107BC8"/>
    <w:rsid w:val="001105A3"/>
    <w:rsid w:val="00114B7D"/>
    <w:rsid w:val="00115DDE"/>
    <w:rsid w:val="00121DF6"/>
    <w:rsid w:val="00127E81"/>
    <w:rsid w:val="001330AB"/>
    <w:rsid w:val="00141243"/>
    <w:rsid w:val="001555A1"/>
    <w:rsid w:val="001571FC"/>
    <w:rsid w:val="0015721B"/>
    <w:rsid w:val="00165D2A"/>
    <w:rsid w:val="00171635"/>
    <w:rsid w:val="001753D5"/>
    <w:rsid w:val="00175A37"/>
    <w:rsid w:val="00175C84"/>
    <w:rsid w:val="00195C20"/>
    <w:rsid w:val="001A2EF6"/>
    <w:rsid w:val="001A7BCD"/>
    <w:rsid w:val="001C3313"/>
    <w:rsid w:val="001D05CE"/>
    <w:rsid w:val="001D1F38"/>
    <w:rsid w:val="001E2D47"/>
    <w:rsid w:val="001F3D7A"/>
    <w:rsid w:val="00205894"/>
    <w:rsid w:val="0022791E"/>
    <w:rsid w:val="00232E13"/>
    <w:rsid w:val="00241EA7"/>
    <w:rsid w:val="00253AC5"/>
    <w:rsid w:val="00253BB7"/>
    <w:rsid w:val="002607A2"/>
    <w:rsid w:val="00260DA9"/>
    <w:rsid w:val="002629AF"/>
    <w:rsid w:val="00262CA6"/>
    <w:rsid w:val="002661D2"/>
    <w:rsid w:val="002A5206"/>
    <w:rsid w:val="002A6588"/>
    <w:rsid w:val="002B043E"/>
    <w:rsid w:val="002B1471"/>
    <w:rsid w:val="002B4214"/>
    <w:rsid w:val="002B4461"/>
    <w:rsid w:val="002C29A8"/>
    <w:rsid w:val="002D2E5D"/>
    <w:rsid w:val="002E6B18"/>
    <w:rsid w:val="00301FBD"/>
    <w:rsid w:val="00302F74"/>
    <w:rsid w:val="00303415"/>
    <w:rsid w:val="00313D20"/>
    <w:rsid w:val="003143DE"/>
    <w:rsid w:val="00320B1E"/>
    <w:rsid w:val="00321AD3"/>
    <w:rsid w:val="0033674D"/>
    <w:rsid w:val="00336EC4"/>
    <w:rsid w:val="0034445E"/>
    <w:rsid w:val="00360C09"/>
    <w:rsid w:val="003633ED"/>
    <w:rsid w:val="003659F3"/>
    <w:rsid w:val="00370F03"/>
    <w:rsid w:val="00371564"/>
    <w:rsid w:val="00375BE5"/>
    <w:rsid w:val="00377C4A"/>
    <w:rsid w:val="00380109"/>
    <w:rsid w:val="003825DF"/>
    <w:rsid w:val="00382D1E"/>
    <w:rsid w:val="00385480"/>
    <w:rsid w:val="003A3945"/>
    <w:rsid w:val="003A6500"/>
    <w:rsid w:val="003A792E"/>
    <w:rsid w:val="003B131C"/>
    <w:rsid w:val="003B20E0"/>
    <w:rsid w:val="003B532F"/>
    <w:rsid w:val="003C33DE"/>
    <w:rsid w:val="003D006A"/>
    <w:rsid w:val="003D0C0D"/>
    <w:rsid w:val="003D7ED6"/>
    <w:rsid w:val="003E3441"/>
    <w:rsid w:val="003E7C3A"/>
    <w:rsid w:val="003F10C3"/>
    <w:rsid w:val="004014A2"/>
    <w:rsid w:val="00401B28"/>
    <w:rsid w:val="004023BD"/>
    <w:rsid w:val="004145D4"/>
    <w:rsid w:val="004170BF"/>
    <w:rsid w:val="00417FA3"/>
    <w:rsid w:val="00421692"/>
    <w:rsid w:val="0043290B"/>
    <w:rsid w:val="00435573"/>
    <w:rsid w:val="004454CA"/>
    <w:rsid w:val="0045369B"/>
    <w:rsid w:val="00454C60"/>
    <w:rsid w:val="00456121"/>
    <w:rsid w:val="004660BC"/>
    <w:rsid w:val="00466C36"/>
    <w:rsid w:val="004847F2"/>
    <w:rsid w:val="0049142D"/>
    <w:rsid w:val="00491AAE"/>
    <w:rsid w:val="00492F10"/>
    <w:rsid w:val="004A7C55"/>
    <w:rsid w:val="004B46A8"/>
    <w:rsid w:val="004C1A31"/>
    <w:rsid w:val="004E6421"/>
    <w:rsid w:val="004F45D0"/>
    <w:rsid w:val="005213F5"/>
    <w:rsid w:val="005214F4"/>
    <w:rsid w:val="005405C4"/>
    <w:rsid w:val="00547B42"/>
    <w:rsid w:val="0056477C"/>
    <w:rsid w:val="00573081"/>
    <w:rsid w:val="0057332C"/>
    <w:rsid w:val="005A1FD3"/>
    <w:rsid w:val="005A7508"/>
    <w:rsid w:val="005B3F95"/>
    <w:rsid w:val="005B5F1E"/>
    <w:rsid w:val="005B604B"/>
    <w:rsid w:val="005C10A3"/>
    <w:rsid w:val="005D2F2C"/>
    <w:rsid w:val="005E1901"/>
    <w:rsid w:val="005E2489"/>
    <w:rsid w:val="006003A4"/>
    <w:rsid w:val="00600EFB"/>
    <w:rsid w:val="0061471B"/>
    <w:rsid w:val="00615B4B"/>
    <w:rsid w:val="00622F3D"/>
    <w:rsid w:val="0063049E"/>
    <w:rsid w:val="00636334"/>
    <w:rsid w:val="00646983"/>
    <w:rsid w:val="0065022C"/>
    <w:rsid w:val="00660FCA"/>
    <w:rsid w:val="00665FB0"/>
    <w:rsid w:val="006723B2"/>
    <w:rsid w:val="006A42E6"/>
    <w:rsid w:val="006D12EB"/>
    <w:rsid w:val="006D2AB4"/>
    <w:rsid w:val="006D62B3"/>
    <w:rsid w:val="006D64C2"/>
    <w:rsid w:val="006E1DD9"/>
    <w:rsid w:val="006E4BA5"/>
    <w:rsid w:val="006F5225"/>
    <w:rsid w:val="006F56C7"/>
    <w:rsid w:val="00703E30"/>
    <w:rsid w:val="007128D7"/>
    <w:rsid w:val="00717421"/>
    <w:rsid w:val="0072276E"/>
    <w:rsid w:val="00732DDE"/>
    <w:rsid w:val="00743C7E"/>
    <w:rsid w:val="00746B70"/>
    <w:rsid w:val="00753A1E"/>
    <w:rsid w:val="0075503A"/>
    <w:rsid w:val="00764DD1"/>
    <w:rsid w:val="00765E2C"/>
    <w:rsid w:val="0077037B"/>
    <w:rsid w:val="007812E1"/>
    <w:rsid w:val="00782C1E"/>
    <w:rsid w:val="007875F6"/>
    <w:rsid w:val="00790342"/>
    <w:rsid w:val="00791DFC"/>
    <w:rsid w:val="007960B9"/>
    <w:rsid w:val="00797474"/>
    <w:rsid w:val="007A143D"/>
    <w:rsid w:val="007A3AD2"/>
    <w:rsid w:val="007A5BDF"/>
    <w:rsid w:val="007C603F"/>
    <w:rsid w:val="007D791D"/>
    <w:rsid w:val="0080180F"/>
    <w:rsid w:val="00814687"/>
    <w:rsid w:val="0082064C"/>
    <w:rsid w:val="0082232F"/>
    <w:rsid w:val="00822E83"/>
    <w:rsid w:val="00845AE7"/>
    <w:rsid w:val="0086096F"/>
    <w:rsid w:val="008615FB"/>
    <w:rsid w:val="00866FA1"/>
    <w:rsid w:val="008728A8"/>
    <w:rsid w:val="00875FD8"/>
    <w:rsid w:val="0089048B"/>
    <w:rsid w:val="00896103"/>
    <w:rsid w:val="008C637C"/>
    <w:rsid w:val="008E4DC5"/>
    <w:rsid w:val="008F3436"/>
    <w:rsid w:val="008F38B4"/>
    <w:rsid w:val="008F57E5"/>
    <w:rsid w:val="00902E9D"/>
    <w:rsid w:val="009042F1"/>
    <w:rsid w:val="00905454"/>
    <w:rsid w:val="00906B2C"/>
    <w:rsid w:val="00907CD3"/>
    <w:rsid w:val="0091570B"/>
    <w:rsid w:val="00922EDC"/>
    <w:rsid w:val="00932B01"/>
    <w:rsid w:val="00937FDC"/>
    <w:rsid w:val="00946DA4"/>
    <w:rsid w:val="009567C0"/>
    <w:rsid w:val="00967B33"/>
    <w:rsid w:val="00967C7E"/>
    <w:rsid w:val="00970824"/>
    <w:rsid w:val="00971E7A"/>
    <w:rsid w:val="0098607E"/>
    <w:rsid w:val="0098748A"/>
    <w:rsid w:val="0099234E"/>
    <w:rsid w:val="009A74E6"/>
    <w:rsid w:val="009B2171"/>
    <w:rsid w:val="009C222A"/>
    <w:rsid w:val="009C25D1"/>
    <w:rsid w:val="009E0CA8"/>
    <w:rsid w:val="009E25A6"/>
    <w:rsid w:val="009F014B"/>
    <w:rsid w:val="009F6D1F"/>
    <w:rsid w:val="00A02C6E"/>
    <w:rsid w:val="00A10DFF"/>
    <w:rsid w:val="00A12962"/>
    <w:rsid w:val="00A21F8D"/>
    <w:rsid w:val="00A308E1"/>
    <w:rsid w:val="00A30B63"/>
    <w:rsid w:val="00A364FD"/>
    <w:rsid w:val="00A42483"/>
    <w:rsid w:val="00A4297A"/>
    <w:rsid w:val="00A4418A"/>
    <w:rsid w:val="00A574C4"/>
    <w:rsid w:val="00A63EC8"/>
    <w:rsid w:val="00A75B07"/>
    <w:rsid w:val="00A80F45"/>
    <w:rsid w:val="00A94897"/>
    <w:rsid w:val="00AA7903"/>
    <w:rsid w:val="00AD0A2B"/>
    <w:rsid w:val="00AE0152"/>
    <w:rsid w:val="00AE25EF"/>
    <w:rsid w:val="00AE78C6"/>
    <w:rsid w:val="00AF279E"/>
    <w:rsid w:val="00AF5616"/>
    <w:rsid w:val="00B04DCA"/>
    <w:rsid w:val="00B06E94"/>
    <w:rsid w:val="00B15502"/>
    <w:rsid w:val="00B20DC0"/>
    <w:rsid w:val="00B3312B"/>
    <w:rsid w:val="00B3541C"/>
    <w:rsid w:val="00B44CFD"/>
    <w:rsid w:val="00B46EBF"/>
    <w:rsid w:val="00B64757"/>
    <w:rsid w:val="00B74BF6"/>
    <w:rsid w:val="00BA4B00"/>
    <w:rsid w:val="00BB0634"/>
    <w:rsid w:val="00BB5AD0"/>
    <w:rsid w:val="00BC00A4"/>
    <w:rsid w:val="00BC24BE"/>
    <w:rsid w:val="00BC2C58"/>
    <w:rsid w:val="00BC3023"/>
    <w:rsid w:val="00BC37EF"/>
    <w:rsid w:val="00BC52E2"/>
    <w:rsid w:val="00BD0C7A"/>
    <w:rsid w:val="00BD4967"/>
    <w:rsid w:val="00BD5619"/>
    <w:rsid w:val="00BD79FC"/>
    <w:rsid w:val="00BE7BAC"/>
    <w:rsid w:val="00BF66F1"/>
    <w:rsid w:val="00C04B8F"/>
    <w:rsid w:val="00C116B3"/>
    <w:rsid w:val="00C240D6"/>
    <w:rsid w:val="00C2599B"/>
    <w:rsid w:val="00C264D4"/>
    <w:rsid w:val="00C326E0"/>
    <w:rsid w:val="00C41A26"/>
    <w:rsid w:val="00C51654"/>
    <w:rsid w:val="00C738C0"/>
    <w:rsid w:val="00CA2FD2"/>
    <w:rsid w:val="00CA5DA4"/>
    <w:rsid w:val="00CC7F37"/>
    <w:rsid w:val="00CD125D"/>
    <w:rsid w:val="00CD46BE"/>
    <w:rsid w:val="00CD79F1"/>
    <w:rsid w:val="00CF1727"/>
    <w:rsid w:val="00CF2227"/>
    <w:rsid w:val="00CF5F2B"/>
    <w:rsid w:val="00D115AF"/>
    <w:rsid w:val="00D1333F"/>
    <w:rsid w:val="00D13BBC"/>
    <w:rsid w:val="00D173A5"/>
    <w:rsid w:val="00D21BED"/>
    <w:rsid w:val="00D32984"/>
    <w:rsid w:val="00D35117"/>
    <w:rsid w:val="00D3659F"/>
    <w:rsid w:val="00D44988"/>
    <w:rsid w:val="00D46061"/>
    <w:rsid w:val="00D46610"/>
    <w:rsid w:val="00D629A6"/>
    <w:rsid w:val="00D67E83"/>
    <w:rsid w:val="00D81C61"/>
    <w:rsid w:val="00D91646"/>
    <w:rsid w:val="00DF6C12"/>
    <w:rsid w:val="00E012B4"/>
    <w:rsid w:val="00E01A93"/>
    <w:rsid w:val="00E0599A"/>
    <w:rsid w:val="00E17DC4"/>
    <w:rsid w:val="00E42F49"/>
    <w:rsid w:val="00E45928"/>
    <w:rsid w:val="00E47930"/>
    <w:rsid w:val="00E63383"/>
    <w:rsid w:val="00E63F09"/>
    <w:rsid w:val="00E656FA"/>
    <w:rsid w:val="00E7428C"/>
    <w:rsid w:val="00E834DF"/>
    <w:rsid w:val="00E869D7"/>
    <w:rsid w:val="00E87051"/>
    <w:rsid w:val="00E9124D"/>
    <w:rsid w:val="00E91EB9"/>
    <w:rsid w:val="00E9267C"/>
    <w:rsid w:val="00E942A0"/>
    <w:rsid w:val="00EA0B81"/>
    <w:rsid w:val="00EA6386"/>
    <w:rsid w:val="00ED3A07"/>
    <w:rsid w:val="00ED6159"/>
    <w:rsid w:val="00EF6C37"/>
    <w:rsid w:val="00F00737"/>
    <w:rsid w:val="00F01173"/>
    <w:rsid w:val="00F02F0B"/>
    <w:rsid w:val="00F03B30"/>
    <w:rsid w:val="00F059A7"/>
    <w:rsid w:val="00F05EF3"/>
    <w:rsid w:val="00F21403"/>
    <w:rsid w:val="00F46710"/>
    <w:rsid w:val="00F53800"/>
    <w:rsid w:val="00F56591"/>
    <w:rsid w:val="00F65D94"/>
    <w:rsid w:val="00F703CB"/>
    <w:rsid w:val="00F75D50"/>
    <w:rsid w:val="00F86283"/>
    <w:rsid w:val="00F87183"/>
    <w:rsid w:val="00F900C6"/>
    <w:rsid w:val="00F9353B"/>
    <w:rsid w:val="00F96FCC"/>
    <w:rsid w:val="00FA1B09"/>
    <w:rsid w:val="00FA43F4"/>
    <w:rsid w:val="00FB4C9E"/>
    <w:rsid w:val="00FD0696"/>
    <w:rsid w:val="00FD22F2"/>
    <w:rsid w:val="00FD6F93"/>
    <w:rsid w:val="00FE2228"/>
    <w:rsid w:val="00FE4DDC"/>
    <w:rsid w:val="00FE6721"/>
    <w:rsid w:val="00FF22E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6"/>
    <o:shapelayout v:ext="edit">
      <o:idmap v:ext="edit" data="1"/>
    </o:shapelayout>
  </w:shapeDefaults>
  <w:decimalSymbol w:val=","/>
  <w:listSeparator w:val=";"/>
  <w14:docId w14:val="08FC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615B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5B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5B4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5B4B"/>
    <w:pPr>
      <w:numPr>
        <w:numId w:val="4"/>
      </w:numPr>
      <w:contextualSpacing/>
    </w:pPr>
  </w:style>
  <w:style w:type="paragraph" w:customStyle="1" w:styleId="Default">
    <w:name w:val="Default"/>
    <w:rsid w:val="00615B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C2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95C2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195C2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5C2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5C2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5C20"/>
    <w:pPr>
      <w:numPr>
        <w:numId w:val="8"/>
      </w:numPr>
      <w:contextualSpacing/>
    </w:pPr>
  </w:style>
  <w:style w:type="paragraph" w:styleId="NoSpacing">
    <w:name w:val="No Spacing"/>
    <w:uiPriority w:val="1"/>
    <w:qFormat/>
    <w:rsid w:val="00E012B4"/>
    <w:pPr>
      <w:spacing w:after="0" w:line="240" w:lineRule="auto"/>
      <w:ind w:left="300" w:hanging="300"/>
      <w:jc w:val="both"/>
    </w:pPr>
    <w:rPr>
      <w:rFonts w:ascii="Times New Roman" w:eastAsia="Calibri" w:hAnsi="Times New Roman" w:cs="Times New Roman"/>
      <w:spacing w:val="-3"/>
      <w:sz w:val="20"/>
      <w:szCs w:val="20"/>
      <w:lang w:val="en-GB"/>
    </w:rPr>
  </w:style>
  <w:style w:type="character" w:styleId="CommentReference">
    <w:name w:val="annotation reference"/>
    <w:uiPriority w:val="99"/>
    <w:unhideWhenUsed/>
    <w:qFormat/>
    <w:rsid w:val="0095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7C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7C0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16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5D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5D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D125D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CM1">
    <w:name w:val="CM1"/>
    <w:basedOn w:val="Default"/>
    <w:next w:val="Default"/>
    <w:uiPriority w:val="99"/>
    <w:rsid w:val="00E012B4"/>
    <w:pPr>
      <w:spacing w:after="0" w:line="240" w:lineRule="auto"/>
    </w:pPr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012B4"/>
    <w:pPr>
      <w:spacing w:after="0" w:line="240" w:lineRule="auto"/>
    </w:pPr>
    <w:rPr>
      <w:rFonts w:eastAsiaTheme="minorHAnsi"/>
      <w:color w:val="auto"/>
      <w:lang w:eastAsia="en-US"/>
    </w:rPr>
  </w:style>
  <w:style w:type="paragraph" w:customStyle="1" w:styleId="Normal1">
    <w:name w:val="Normal1"/>
    <w:basedOn w:val="Normal"/>
    <w:rsid w:val="00F9353B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53B"/>
    <w:rPr>
      <w:color w:val="0000FF"/>
      <w:u w:val="single"/>
    </w:rPr>
  </w:style>
  <w:style w:type="character" w:customStyle="1" w:styleId="super">
    <w:name w:val="super"/>
    <w:basedOn w:val="DefaultParagraphFont"/>
    <w:rsid w:val="00F9353B"/>
  </w:style>
  <w:style w:type="paragraph" w:customStyle="1" w:styleId="tbl-txt">
    <w:name w:val="tbl-txt"/>
    <w:basedOn w:val="Normal"/>
    <w:rsid w:val="00F9353B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353B"/>
    <w:rPr>
      <w:b/>
      <w:bCs/>
    </w:rPr>
  </w:style>
  <w:style w:type="paragraph" w:customStyle="1" w:styleId="Normal2">
    <w:name w:val="Normal2"/>
    <w:basedOn w:val="Normal"/>
    <w:rsid w:val="00905454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60DA9"/>
  </w:style>
  <w:style w:type="character" w:customStyle="1" w:styleId="oj-super">
    <w:name w:val="oj-super"/>
    <w:basedOn w:val="DefaultParagraphFont"/>
    <w:rsid w:val="00B15502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Tiret5">
    <w:name w:val="Tiret 5"/>
    <w:basedOn w:val="Point5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5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5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character" w:customStyle="1" w:styleId="cf01">
    <w:name w:val="cf01"/>
    <w:basedOn w:val="DefaultParagraphFont"/>
    <w:rsid w:val="00EA638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1159</Words>
  <Characters>6717</Characters>
  <Application>Microsoft Office Word</Application>
  <DocSecurity>0</DocSecurity>
  <Lines>248</Lines>
  <Paragraphs>86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2023-09-19T17:03:00Z</dcterms:created>
  <dcterms:modified xsi:type="dcterms:W3CDTF">2023-09-19T17:03:00Z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9.0, Build 20230317</vt:lpwstr>
  </property>
</Properties>
</file>